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07252C">
      <w:pPr>
        <w:spacing w:line="540" w:lineRule="exact"/>
        <w:ind w:firstLine="1767" w:firstLineChars="400"/>
        <w:rPr>
          <w:rFonts w:hint="eastAsia" w:ascii="黑体" w:hAnsi="黑体" w:eastAsia="黑体" w:cs="黑体"/>
          <w:b/>
          <w:color w:val="333333"/>
          <w:kern w:val="0"/>
          <w:sz w:val="44"/>
          <w:szCs w:val="44"/>
        </w:rPr>
      </w:pPr>
      <w:r>
        <w:rPr>
          <w:rFonts w:hint="eastAsia" w:ascii="黑体" w:hAnsi="黑体" w:eastAsia="黑体" w:cs="黑体"/>
          <w:b/>
          <w:color w:val="333333"/>
          <w:kern w:val="0"/>
          <w:sz w:val="44"/>
          <w:szCs w:val="44"/>
        </w:rPr>
        <w:t>大冶市202</w:t>
      </w:r>
      <w:r>
        <w:rPr>
          <w:rFonts w:hint="eastAsia" w:ascii="黑体" w:hAnsi="黑体" w:eastAsia="黑体" w:cs="黑体"/>
          <w:b/>
          <w:color w:val="333333"/>
          <w:kern w:val="0"/>
          <w:sz w:val="44"/>
          <w:szCs w:val="44"/>
          <w:lang w:val="en-US" w:eastAsia="zh-CN"/>
        </w:rPr>
        <w:t>5</w:t>
      </w:r>
      <w:r>
        <w:rPr>
          <w:rFonts w:hint="eastAsia" w:ascii="黑体" w:hAnsi="黑体" w:eastAsia="黑体" w:cs="黑体"/>
          <w:b/>
          <w:color w:val="333333"/>
          <w:kern w:val="0"/>
          <w:sz w:val="44"/>
          <w:szCs w:val="44"/>
        </w:rPr>
        <w:t>年第</w:t>
      </w:r>
      <w:r>
        <w:rPr>
          <w:rFonts w:hint="eastAsia" w:ascii="黑体" w:hAnsi="黑体" w:eastAsia="黑体" w:cs="黑体"/>
          <w:b/>
          <w:color w:val="333333"/>
          <w:kern w:val="0"/>
          <w:sz w:val="44"/>
          <w:szCs w:val="44"/>
          <w:lang w:val="en-US" w:eastAsia="zh-CN"/>
        </w:rPr>
        <w:t>4</w:t>
      </w:r>
      <w:r>
        <w:rPr>
          <w:rFonts w:hint="eastAsia" w:ascii="黑体" w:hAnsi="黑体" w:eastAsia="黑体" w:cs="黑体"/>
          <w:b/>
          <w:color w:val="333333"/>
          <w:kern w:val="0"/>
          <w:sz w:val="44"/>
          <w:szCs w:val="44"/>
        </w:rPr>
        <w:t>期国有</w:t>
      </w:r>
    </w:p>
    <w:p w14:paraId="268904A6">
      <w:pPr>
        <w:spacing w:line="540" w:lineRule="exact"/>
        <w:ind w:firstLine="883" w:firstLineChars="200"/>
        <w:rPr>
          <w:rFonts w:hint="eastAsia" w:ascii="黑体" w:hAnsi="黑体" w:eastAsia="黑体" w:cs="黑体"/>
          <w:b/>
          <w:color w:val="333333"/>
          <w:kern w:val="0"/>
          <w:sz w:val="36"/>
          <w:szCs w:val="36"/>
        </w:rPr>
      </w:pPr>
      <w:r>
        <w:rPr>
          <w:rFonts w:hint="eastAsia" w:ascii="黑体" w:hAnsi="黑体" w:eastAsia="黑体" w:cs="黑体"/>
          <w:b/>
          <w:color w:val="333333"/>
          <w:kern w:val="0"/>
          <w:sz w:val="44"/>
          <w:szCs w:val="44"/>
        </w:rPr>
        <w:t>建设用地使用权网上挂牌出让须知</w:t>
      </w:r>
    </w:p>
    <w:p w14:paraId="17631DE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根据《中华人民共和国土地管理法》、《中华人民共和国城市房地产管理法》、《中华人民共和国城镇国有土地使用权出让和转让暂行条例》、《招标拍卖挂牌出让国有建设用地使用权规定》及《招标拍卖挂牌出让国有土地使用权规范》等有关规定，经大冶市人民政府批准，大冶市公共资源交易中心根据大冶市自然资源和规划局</w:t>
      </w:r>
      <w:r>
        <w:rPr>
          <w:rFonts w:hint="eastAsia" w:eastAsia="仿宋_GB2312"/>
          <w:sz w:val="32"/>
          <w:lang w:val="en-US" w:eastAsia="zh-CN"/>
        </w:rPr>
        <w:t>来</w:t>
      </w:r>
      <w:r>
        <w:rPr>
          <w:rFonts w:hint="eastAsia" w:eastAsia="仿宋_GB2312"/>
          <w:sz w:val="32"/>
        </w:rPr>
        <w:t>函，决定以网上挂牌方式出让</w:t>
      </w:r>
      <w:r>
        <w:rPr>
          <w:rFonts w:hint="eastAsia" w:ascii="仿宋" w:hAnsi="仿宋" w:eastAsia="仿宋" w:cs="宋体"/>
          <w:color w:val="333333"/>
          <w:kern w:val="0"/>
          <w:sz w:val="32"/>
          <w:szCs w:val="32"/>
        </w:rPr>
        <w:t>G</w:t>
      </w:r>
      <w:r>
        <w:rPr>
          <w:rFonts w:hint="eastAsia" w:ascii="仿宋" w:hAnsi="仿宋" w:eastAsia="仿宋" w:cs="宋体"/>
          <w:color w:val="333333"/>
          <w:kern w:val="0"/>
          <w:sz w:val="32"/>
          <w:szCs w:val="32"/>
          <w:lang w:val="en-US" w:eastAsia="zh-CN"/>
        </w:rPr>
        <w:t>25019号等3宗地块</w:t>
      </w:r>
      <w:r>
        <w:rPr>
          <w:rFonts w:hint="eastAsia" w:eastAsia="仿宋_GB2312"/>
          <w:sz w:val="32"/>
        </w:rPr>
        <w:t>国有建设用地使用权。</w:t>
      </w:r>
    </w:p>
    <w:p w14:paraId="1F02D52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一、本次国有建设用地使用权挂牌出让的出让人为大冶市自然资源和规划局，具体组织实施由大冶市公共资源交易中心承办。</w:t>
      </w:r>
    </w:p>
    <w:p w14:paraId="730CFF2C">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二、本次国有建设用地使用权挂牌出让遵循公开、公平、公正和诚实信用原则。</w:t>
      </w:r>
    </w:p>
    <w:p w14:paraId="760A1D19">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640" w:firstLineChars="200"/>
        <w:textAlignment w:val="auto"/>
        <w:rPr>
          <w:rFonts w:hint="eastAsia" w:eastAsia="仿宋_GB2312"/>
          <w:sz w:val="32"/>
        </w:rPr>
      </w:pPr>
      <w:r>
        <w:rPr>
          <w:rFonts w:hint="eastAsia" w:eastAsia="仿宋_GB2312"/>
          <w:sz w:val="32"/>
        </w:rPr>
        <w:t>出让地块的基本情况及规划指标要求等：</w:t>
      </w:r>
    </w:p>
    <w:tbl>
      <w:tblPr>
        <w:tblStyle w:val="7"/>
        <w:tblW w:w="9731" w:type="dxa"/>
        <w:jc w:val="center"/>
        <w:tblLayout w:type="fixed"/>
        <w:tblCellMar>
          <w:top w:w="0" w:type="dxa"/>
          <w:left w:w="0" w:type="dxa"/>
          <w:bottom w:w="0" w:type="dxa"/>
          <w:right w:w="0" w:type="dxa"/>
        </w:tblCellMar>
      </w:tblPr>
      <w:tblGrid>
        <w:gridCol w:w="771"/>
        <w:gridCol w:w="1686"/>
        <w:gridCol w:w="885"/>
        <w:gridCol w:w="929"/>
        <w:gridCol w:w="795"/>
        <w:gridCol w:w="793"/>
        <w:gridCol w:w="641"/>
        <w:gridCol w:w="670"/>
        <w:gridCol w:w="1059"/>
        <w:gridCol w:w="730"/>
        <w:gridCol w:w="772"/>
      </w:tblGrid>
      <w:tr w14:paraId="7E26E2CD">
        <w:tblPrEx>
          <w:tblCellMar>
            <w:top w:w="0" w:type="dxa"/>
            <w:left w:w="0" w:type="dxa"/>
            <w:bottom w:w="0" w:type="dxa"/>
            <w:right w:w="0" w:type="dxa"/>
          </w:tblCellMar>
        </w:tblPrEx>
        <w:trPr>
          <w:cantSplit/>
          <w:trHeight w:val="281" w:hRule="atLeast"/>
          <w:jc w:val="center"/>
        </w:trPr>
        <w:tc>
          <w:tcPr>
            <w:tcW w:w="771"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BA335B7">
            <w:pPr>
              <w:spacing w:line="220" w:lineRule="exact"/>
              <w:jc w:val="center"/>
              <w:rPr>
                <w:rFonts w:hint="eastAsia" w:ascii="仿宋" w:hAnsi="仿宋" w:eastAsia="仿宋" w:cs="仿宋"/>
                <w:color w:val="auto"/>
                <w:spacing w:val="-8"/>
                <w:sz w:val="18"/>
                <w:szCs w:val="18"/>
              </w:rPr>
            </w:pPr>
            <w:r>
              <w:rPr>
                <w:rFonts w:hint="eastAsia" w:ascii="仿宋" w:hAnsi="仿宋" w:eastAsia="仿宋" w:cs="仿宋"/>
                <w:color w:val="auto"/>
                <w:spacing w:val="-8"/>
                <w:sz w:val="18"/>
                <w:szCs w:val="18"/>
              </w:rPr>
              <w:t>地块</w:t>
            </w:r>
          </w:p>
          <w:p w14:paraId="0A69DC12">
            <w:pPr>
              <w:spacing w:line="220" w:lineRule="exact"/>
              <w:jc w:val="center"/>
              <w:rPr>
                <w:rFonts w:hint="eastAsia" w:ascii="仿宋" w:hAnsi="仿宋" w:eastAsia="仿宋" w:cs="仿宋"/>
                <w:color w:val="auto"/>
                <w:spacing w:val="-8"/>
                <w:sz w:val="18"/>
                <w:szCs w:val="18"/>
              </w:rPr>
            </w:pPr>
            <w:r>
              <w:rPr>
                <w:rFonts w:hint="eastAsia" w:ascii="仿宋" w:hAnsi="仿宋" w:eastAsia="仿宋" w:cs="仿宋"/>
                <w:color w:val="auto"/>
                <w:spacing w:val="-8"/>
                <w:sz w:val="18"/>
                <w:szCs w:val="18"/>
              </w:rPr>
              <w:t>编号</w:t>
            </w:r>
          </w:p>
        </w:tc>
        <w:tc>
          <w:tcPr>
            <w:tcW w:w="1686"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7349D5D1">
            <w:pPr>
              <w:spacing w:line="220" w:lineRule="exact"/>
              <w:jc w:val="center"/>
              <w:rPr>
                <w:rFonts w:hint="eastAsia" w:ascii="仿宋" w:hAnsi="仿宋" w:eastAsia="仿宋" w:cs="仿宋"/>
                <w:color w:val="auto"/>
                <w:kern w:val="0"/>
                <w:sz w:val="18"/>
                <w:szCs w:val="18"/>
              </w:rPr>
            </w:pPr>
            <w:r>
              <w:rPr>
                <w:rFonts w:hint="eastAsia" w:ascii="仿宋" w:hAnsi="仿宋" w:eastAsia="仿宋" w:cs="仿宋"/>
                <w:color w:val="auto"/>
                <w:kern w:val="0"/>
                <w:sz w:val="18"/>
                <w:szCs w:val="18"/>
              </w:rPr>
              <w:t>土地坐落</w:t>
            </w:r>
          </w:p>
        </w:tc>
        <w:tc>
          <w:tcPr>
            <w:tcW w:w="885" w:type="dxa"/>
            <w:vMerge w:val="restart"/>
            <w:tcBorders>
              <w:top w:val="single" w:color="auto" w:sz="4" w:space="0"/>
              <w:left w:val="single" w:color="auto" w:sz="4" w:space="0"/>
              <w:bottom w:val="single" w:color="auto" w:sz="4" w:space="0"/>
              <w:right w:val="single" w:color="auto" w:sz="4" w:space="0"/>
            </w:tcBorders>
            <w:vAlign w:val="center"/>
          </w:tcPr>
          <w:p w14:paraId="4A581E28">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总面积</w:t>
            </w:r>
          </w:p>
        </w:tc>
        <w:tc>
          <w:tcPr>
            <w:tcW w:w="929" w:type="dxa"/>
            <w:vMerge w:val="restart"/>
            <w:tcBorders>
              <w:top w:val="single" w:color="auto" w:sz="4" w:space="0"/>
              <w:left w:val="single" w:color="auto" w:sz="4" w:space="0"/>
              <w:bottom w:val="single" w:color="auto" w:sz="4" w:space="0"/>
              <w:right w:val="single" w:color="auto" w:sz="4" w:space="0"/>
            </w:tcBorders>
            <w:vAlign w:val="center"/>
          </w:tcPr>
          <w:p w14:paraId="4E9C6E6F">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出让面积(㎡)</w:t>
            </w:r>
          </w:p>
        </w:tc>
        <w:tc>
          <w:tcPr>
            <w:tcW w:w="795"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DE1E74A">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土地</w:t>
            </w:r>
          </w:p>
          <w:p w14:paraId="1B33BBE2">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用途</w:t>
            </w:r>
          </w:p>
        </w:tc>
        <w:tc>
          <w:tcPr>
            <w:tcW w:w="2104" w:type="dxa"/>
            <w:gridSpan w:val="3"/>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3B5D172">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规划指标要求</w:t>
            </w:r>
          </w:p>
        </w:tc>
        <w:tc>
          <w:tcPr>
            <w:tcW w:w="1059"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305CB9BF">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出让</w:t>
            </w:r>
          </w:p>
          <w:p w14:paraId="3BC80A81">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年限</w:t>
            </w:r>
          </w:p>
        </w:tc>
        <w:tc>
          <w:tcPr>
            <w:tcW w:w="730" w:type="dxa"/>
            <w:vMerge w:val="restart"/>
            <w:tcBorders>
              <w:top w:val="single" w:color="auto" w:sz="4" w:space="0"/>
              <w:left w:val="single" w:color="auto" w:sz="4" w:space="0"/>
              <w:bottom w:val="single" w:color="auto" w:sz="4" w:space="0"/>
              <w:right w:val="single" w:color="auto" w:sz="4" w:space="0"/>
            </w:tcBorders>
            <w:vAlign w:val="center"/>
          </w:tcPr>
          <w:p w14:paraId="719B8658">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竞买</w:t>
            </w:r>
          </w:p>
          <w:p w14:paraId="545CAE57">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保证金</w:t>
            </w:r>
          </w:p>
          <w:p w14:paraId="1AEB34A1">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(万元)</w:t>
            </w:r>
          </w:p>
        </w:tc>
        <w:tc>
          <w:tcPr>
            <w:tcW w:w="772"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5C9BB697">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挂牌</w:t>
            </w:r>
          </w:p>
          <w:p w14:paraId="67E8005F">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起始价</w:t>
            </w:r>
          </w:p>
          <w:p w14:paraId="4B7F5124">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(万元)</w:t>
            </w:r>
          </w:p>
        </w:tc>
      </w:tr>
      <w:tr w14:paraId="01F38A96">
        <w:tblPrEx>
          <w:tblCellMar>
            <w:top w:w="0" w:type="dxa"/>
            <w:left w:w="0" w:type="dxa"/>
            <w:bottom w:w="0" w:type="dxa"/>
            <w:right w:w="0" w:type="dxa"/>
          </w:tblCellMar>
        </w:tblPrEx>
        <w:trPr>
          <w:cantSplit/>
          <w:trHeight w:val="403" w:hRule="atLeast"/>
          <w:jc w:val="center"/>
        </w:trPr>
        <w:tc>
          <w:tcPr>
            <w:tcW w:w="771" w:type="dxa"/>
            <w:vMerge w:val="continue"/>
            <w:tcBorders>
              <w:top w:val="single" w:color="auto" w:sz="4" w:space="0"/>
              <w:left w:val="single" w:color="auto" w:sz="4" w:space="0"/>
              <w:bottom w:val="single" w:color="auto" w:sz="4" w:space="0"/>
              <w:right w:val="single" w:color="auto" w:sz="4" w:space="0"/>
            </w:tcBorders>
            <w:vAlign w:val="center"/>
          </w:tcPr>
          <w:p w14:paraId="42ECC36F">
            <w:pPr>
              <w:widowControl/>
              <w:spacing w:line="220" w:lineRule="exact"/>
              <w:jc w:val="center"/>
              <w:rPr>
                <w:rFonts w:hint="eastAsia" w:ascii="仿宋" w:hAnsi="仿宋" w:eastAsia="仿宋" w:cs="仿宋"/>
                <w:color w:val="auto"/>
                <w:sz w:val="18"/>
                <w:szCs w:val="18"/>
              </w:rPr>
            </w:pPr>
          </w:p>
        </w:tc>
        <w:tc>
          <w:tcPr>
            <w:tcW w:w="1686" w:type="dxa"/>
            <w:vMerge w:val="continue"/>
            <w:tcBorders>
              <w:top w:val="single" w:color="auto" w:sz="4" w:space="0"/>
              <w:left w:val="single" w:color="auto" w:sz="4" w:space="0"/>
              <w:bottom w:val="single" w:color="auto" w:sz="4" w:space="0"/>
              <w:right w:val="single" w:color="auto" w:sz="4" w:space="0"/>
            </w:tcBorders>
            <w:vAlign w:val="center"/>
          </w:tcPr>
          <w:p w14:paraId="020C6F91">
            <w:pPr>
              <w:widowControl/>
              <w:spacing w:line="220" w:lineRule="exact"/>
              <w:jc w:val="center"/>
              <w:rPr>
                <w:rFonts w:hint="eastAsia" w:ascii="仿宋" w:hAnsi="仿宋" w:eastAsia="仿宋" w:cs="仿宋"/>
                <w:color w:val="auto"/>
                <w:kern w:val="0"/>
                <w:sz w:val="18"/>
                <w:szCs w:val="18"/>
              </w:rPr>
            </w:pPr>
          </w:p>
        </w:tc>
        <w:tc>
          <w:tcPr>
            <w:tcW w:w="885" w:type="dxa"/>
            <w:vMerge w:val="continue"/>
            <w:tcBorders>
              <w:top w:val="single" w:color="auto" w:sz="4" w:space="0"/>
              <w:left w:val="single" w:color="auto" w:sz="4" w:space="0"/>
              <w:bottom w:val="single" w:color="auto" w:sz="4" w:space="0"/>
              <w:right w:val="single" w:color="auto" w:sz="4" w:space="0"/>
            </w:tcBorders>
            <w:vAlign w:val="center"/>
          </w:tcPr>
          <w:p w14:paraId="79ABFEEF">
            <w:pPr>
              <w:widowControl/>
              <w:spacing w:line="220" w:lineRule="exact"/>
              <w:jc w:val="center"/>
              <w:rPr>
                <w:rFonts w:hint="eastAsia" w:ascii="仿宋" w:hAnsi="仿宋" w:eastAsia="仿宋" w:cs="仿宋"/>
                <w:color w:val="auto"/>
                <w:sz w:val="18"/>
                <w:szCs w:val="18"/>
              </w:rPr>
            </w:pPr>
          </w:p>
        </w:tc>
        <w:tc>
          <w:tcPr>
            <w:tcW w:w="929" w:type="dxa"/>
            <w:vMerge w:val="continue"/>
            <w:tcBorders>
              <w:top w:val="single" w:color="auto" w:sz="4" w:space="0"/>
              <w:left w:val="single" w:color="auto" w:sz="4" w:space="0"/>
              <w:bottom w:val="single" w:color="auto" w:sz="4" w:space="0"/>
              <w:right w:val="single" w:color="auto" w:sz="4" w:space="0"/>
            </w:tcBorders>
            <w:vAlign w:val="center"/>
          </w:tcPr>
          <w:p w14:paraId="069A72E7">
            <w:pPr>
              <w:widowControl/>
              <w:spacing w:line="220" w:lineRule="exact"/>
              <w:jc w:val="center"/>
              <w:rPr>
                <w:rFonts w:hint="eastAsia" w:ascii="仿宋" w:hAnsi="仿宋" w:eastAsia="仿宋" w:cs="仿宋"/>
                <w:color w:val="auto"/>
                <w:sz w:val="18"/>
                <w:szCs w:val="18"/>
              </w:rPr>
            </w:pPr>
          </w:p>
        </w:tc>
        <w:tc>
          <w:tcPr>
            <w:tcW w:w="795" w:type="dxa"/>
            <w:vMerge w:val="continue"/>
            <w:tcBorders>
              <w:top w:val="single" w:color="auto" w:sz="4" w:space="0"/>
              <w:left w:val="single" w:color="auto" w:sz="4" w:space="0"/>
              <w:bottom w:val="single" w:color="auto" w:sz="4" w:space="0"/>
              <w:right w:val="single" w:color="auto" w:sz="4" w:space="0"/>
            </w:tcBorders>
            <w:vAlign w:val="center"/>
          </w:tcPr>
          <w:p w14:paraId="0DCCBEA6">
            <w:pPr>
              <w:widowControl/>
              <w:spacing w:line="220" w:lineRule="exact"/>
              <w:jc w:val="center"/>
              <w:rPr>
                <w:rFonts w:hint="eastAsia" w:ascii="仿宋" w:hAnsi="仿宋" w:eastAsia="仿宋" w:cs="仿宋"/>
                <w:color w:val="auto"/>
                <w:sz w:val="18"/>
                <w:szCs w:val="18"/>
              </w:rPr>
            </w:pPr>
          </w:p>
        </w:tc>
        <w:tc>
          <w:tcPr>
            <w:tcW w:w="7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316156D5">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容积率</w:t>
            </w:r>
          </w:p>
        </w:tc>
        <w:tc>
          <w:tcPr>
            <w:tcW w:w="6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793662E8">
            <w:pPr>
              <w:spacing w:line="220" w:lineRule="exact"/>
              <w:ind w:firstLine="90" w:firstLineChars="50"/>
              <w:jc w:val="center"/>
              <w:rPr>
                <w:rFonts w:hint="eastAsia" w:ascii="仿宋" w:hAnsi="仿宋" w:eastAsia="仿宋" w:cs="仿宋"/>
                <w:color w:val="auto"/>
                <w:sz w:val="18"/>
                <w:szCs w:val="18"/>
              </w:rPr>
            </w:pPr>
            <w:r>
              <w:rPr>
                <w:rFonts w:hint="eastAsia" w:ascii="仿宋" w:hAnsi="仿宋" w:eastAsia="仿宋" w:cs="仿宋"/>
                <w:color w:val="auto"/>
                <w:sz w:val="18"/>
                <w:szCs w:val="18"/>
              </w:rPr>
              <w:t>建筑</w:t>
            </w:r>
          </w:p>
          <w:p w14:paraId="30DD54C6">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密度(%)</w:t>
            </w:r>
          </w:p>
        </w:tc>
        <w:tc>
          <w:tcPr>
            <w:tcW w:w="67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7700E1D0">
            <w:pPr>
              <w:spacing w:line="220" w:lineRule="exact"/>
              <w:jc w:val="center"/>
              <w:rPr>
                <w:rFonts w:hint="eastAsia" w:ascii="仿宋" w:hAnsi="仿宋" w:eastAsia="仿宋" w:cs="仿宋"/>
                <w:color w:val="auto"/>
                <w:sz w:val="18"/>
                <w:szCs w:val="18"/>
              </w:rPr>
            </w:pPr>
            <w:r>
              <w:rPr>
                <w:rFonts w:hint="eastAsia" w:ascii="仿宋" w:hAnsi="仿宋" w:eastAsia="仿宋" w:cs="仿宋"/>
                <w:color w:val="auto"/>
                <w:sz w:val="18"/>
                <w:szCs w:val="18"/>
              </w:rPr>
              <w:t>绿地率(%)</w:t>
            </w:r>
          </w:p>
        </w:tc>
        <w:tc>
          <w:tcPr>
            <w:tcW w:w="1059" w:type="dxa"/>
            <w:vMerge w:val="continue"/>
            <w:tcBorders>
              <w:top w:val="single" w:color="auto" w:sz="4" w:space="0"/>
              <w:left w:val="single" w:color="auto" w:sz="4" w:space="0"/>
              <w:bottom w:val="single" w:color="auto" w:sz="4" w:space="0"/>
              <w:right w:val="single" w:color="auto" w:sz="4" w:space="0"/>
            </w:tcBorders>
            <w:vAlign w:val="center"/>
          </w:tcPr>
          <w:p w14:paraId="0E9A0B58">
            <w:pPr>
              <w:widowControl/>
              <w:spacing w:line="220" w:lineRule="exact"/>
              <w:jc w:val="center"/>
              <w:rPr>
                <w:rFonts w:hint="eastAsia" w:ascii="仿宋" w:hAnsi="仿宋" w:eastAsia="仿宋" w:cs="仿宋"/>
                <w:color w:val="auto"/>
                <w:sz w:val="18"/>
                <w:szCs w:val="18"/>
              </w:rPr>
            </w:pPr>
          </w:p>
        </w:tc>
        <w:tc>
          <w:tcPr>
            <w:tcW w:w="730" w:type="dxa"/>
            <w:vMerge w:val="continue"/>
            <w:tcBorders>
              <w:top w:val="single" w:color="auto" w:sz="4" w:space="0"/>
              <w:left w:val="single" w:color="auto" w:sz="4" w:space="0"/>
              <w:bottom w:val="single" w:color="auto" w:sz="4" w:space="0"/>
              <w:right w:val="single" w:color="auto" w:sz="4" w:space="0"/>
            </w:tcBorders>
            <w:vAlign w:val="center"/>
          </w:tcPr>
          <w:p w14:paraId="21C158FA">
            <w:pPr>
              <w:widowControl/>
              <w:spacing w:line="220" w:lineRule="exact"/>
              <w:jc w:val="center"/>
              <w:rPr>
                <w:rFonts w:hint="eastAsia" w:ascii="仿宋" w:hAnsi="仿宋" w:eastAsia="仿宋" w:cs="仿宋"/>
                <w:color w:val="auto"/>
                <w:sz w:val="18"/>
                <w:szCs w:val="18"/>
              </w:rPr>
            </w:pPr>
          </w:p>
        </w:tc>
        <w:tc>
          <w:tcPr>
            <w:tcW w:w="772" w:type="dxa"/>
            <w:vMerge w:val="continue"/>
            <w:tcBorders>
              <w:top w:val="single" w:color="auto" w:sz="4" w:space="0"/>
              <w:left w:val="single" w:color="auto" w:sz="4" w:space="0"/>
              <w:bottom w:val="single" w:color="auto" w:sz="4" w:space="0"/>
              <w:right w:val="single" w:color="auto" w:sz="4" w:space="0"/>
            </w:tcBorders>
            <w:vAlign w:val="center"/>
          </w:tcPr>
          <w:p w14:paraId="5B11C63A">
            <w:pPr>
              <w:widowControl/>
              <w:spacing w:line="220" w:lineRule="exact"/>
              <w:jc w:val="center"/>
              <w:rPr>
                <w:rFonts w:hint="eastAsia" w:ascii="仿宋" w:hAnsi="仿宋" w:eastAsia="仿宋" w:cs="仿宋"/>
                <w:color w:val="auto"/>
                <w:sz w:val="18"/>
                <w:szCs w:val="18"/>
              </w:rPr>
            </w:pPr>
          </w:p>
        </w:tc>
      </w:tr>
      <w:tr w14:paraId="750F7291">
        <w:tblPrEx>
          <w:tblCellMar>
            <w:top w:w="0" w:type="dxa"/>
            <w:left w:w="0" w:type="dxa"/>
            <w:bottom w:w="0" w:type="dxa"/>
            <w:right w:w="0" w:type="dxa"/>
          </w:tblCellMar>
        </w:tblPrEx>
        <w:trPr>
          <w:cantSplit/>
          <w:trHeight w:val="930"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14:paraId="5B6D9B49">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G25019</w:t>
            </w:r>
          </w:p>
        </w:tc>
        <w:tc>
          <w:tcPr>
            <w:tcW w:w="1686" w:type="dxa"/>
            <w:tcBorders>
              <w:top w:val="single" w:color="auto" w:sz="4" w:space="0"/>
              <w:left w:val="single" w:color="auto" w:sz="4" w:space="0"/>
              <w:bottom w:val="single" w:color="auto" w:sz="4" w:space="0"/>
              <w:right w:val="single" w:color="auto" w:sz="4" w:space="0"/>
            </w:tcBorders>
            <w:vAlign w:val="center"/>
          </w:tcPr>
          <w:p w14:paraId="38397025">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金湖大道西侧、桑梓路南侧居住用地A地块（一期）</w:t>
            </w:r>
          </w:p>
        </w:tc>
        <w:tc>
          <w:tcPr>
            <w:tcW w:w="885" w:type="dxa"/>
            <w:tcBorders>
              <w:top w:val="single" w:color="auto" w:sz="4" w:space="0"/>
              <w:left w:val="single" w:color="auto" w:sz="4" w:space="0"/>
              <w:bottom w:val="single" w:color="auto" w:sz="4" w:space="0"/>
              <w:right w:val="single" w:color="auto" w:sz="4" w:space="0"/>
            </w:tcBorders>
            <w:vAlign w:val="center"/>
          </w:tcPr>
          <w:p w14:paraId="420BC2A5">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38230.13</w:t>
            </w:r>
          </w:p>
        </w:tc>
        <w:tc>
          <w:tcPr>
            <w:tcW w:w="929" w:type="dxa"/>
            <w:tcBorders>
              <w:top w:val="single" w:color="auto" w:sz="4" w:space="0"/>
              <w:left w:val="single" w:color="auto" w:sz="4" w:space="0"/>
              <w:bottom w:val="single" w:color="auto" w:sz="4" w:space="0"/>
              <w:right w:val="single" w:color="auto" w:sz="4" w:space="0"/>
            </w:tcBorders>
            <w:vAlign w:val="center"/>
          </w:tcPr>
          <w:p w14:paraId="59805BAB">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36293.67</w:t>
            </w:r>
          </w:p>
        </w:tc>
        <w:tc>
          <w:tcPr>
            <w:tcW w:w="795" w:type="dxa"/>
            <w:tcBorders>
              <w:top w:val="single" w:color="auto" w:sz="4" w:space="0"/>
              <w:left w:val="single" w:color="auto" w:sz="4" w:space="0"/>
              <w:bottom w:val="single" w:color="auto" w:sz="4" w:space="0"/>
              <w:right w:val="single" w:color="auto" w:sz="4" w:space="0"/>
            </w:tcBorders>
            <w:vAlign w:val="center"/>
          </w:tcPr>
          <w:p w14:paraId="6064245C">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居住用地</w:t>
            </w:r>
          </w:p>
        </w:tc>
        <w:tc>
          <w:tcPr>
            <w:tcW w:w="7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68C343D1">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≤2.1（商业≤5%）</w:t>
            </w:r>
          </w:p>
        </w:tc>
        <w:tc>
          <w:tcPr>
            <w:tcW w:w="6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0F1496FB">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≤30</w:t>
            </w:r>
          </w:p>
        </w:tc>
        <w:tc>
          <w:tcPr>
            <w:tcW w:w="67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7D7D855D">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≥30</w:t>
            </w:r>
          </w:p>
        </w:tc>
        <w:tc>
          <w:tcPr>
            <w:tcW w:w="1059" w:type="dxa"/>
            <w:tcBorders>
              <w:top w:val="single" w:color="auto" w:sz="4" w:space="0"/>
              <w:left w:val="single" w:color="auto" w:sz="4" w:space="0"/>
              <w:bottom w:val="single" w:color="auto" w:sz="4" w:space="0"/>
              <w:right w:val="single" w:color="auto" w:sz="4" w:space="0"/>
            </w:tcBorders>
            <w:vAlign w:val="center"/>
          </w:tcPr>
          <w:p w14:paraId="372CC3EA">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住宅70年</w:t>
            </w:r>
          </w:p>
          <w:p w14:paraId="32A944F3">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商服40年</w:t>
            </w:r>
          </w:p>
        </w:tc>
        <w:tc>
          <w:tcPr>
            <w:tcW w:w="730" w:type="dxa"/>
            <w:tcBorders>
              <w:top w:val="single" w:color="auto" w:sz="4" w:space="0"/>
              <w:left w:val="single" w:color="auto" w:sz="4" w:space="0"/>
              <w:bottom w:val="single" w:color="auto" w:sz="4" w:space="0"/>
              <w:right w:val="single" w:color="auto" w:sz="4" w:space="0"/>
            </w:tcBorders>
            <w:vAlign w:val="center"/>
          </w:tcPr>
          <w:p w14:paraId="0D77B8E5">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1573</w:t>
            </w:r>
          </w:p>
        </w:tc>
        <w:tc>
          <w:tcPr>
            <w:tcW w:w="772" w:type="dxa"/>
            <w:tcBorders>
              <w:top w:val="single" w:color="auto" w:sz="4" w:space="0"/>
              <w:left w:val="single" w:color="auto" w:sz="4" w:space="0"/>
              <w:bottom w:val="single" w:color="auto" w:sz="4" w:space="0"/>
              <w:right w:val="single" w:color="auto" w:sz="4" w:space="0"/>
            </w:tcBorders>
            <w:vAlign w:val="center"/>
          </w:tcPr>
          <w:p w14:paraId="3AE7308B">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7865</w:t>
            </w:r>
          </w:p>
        </w:tc>
      </w:tr>
      <w:tr w14:paraId="6069C46E">
        <w:tblPrEx>
          <w:tblCellMar>
            <w:top w:w="0" w:type="dxa"/>
            <w:left w:w="0" w:type="dxa"/>
            <w:bottom w:w="0" w:type="dxa"/>
            <w:right w:w="0" w:type="dxa"/>
          </w:tblCellMar>
        </w:tblPrEx>
        <w:trPr>
          <w:cantSplit/>
          <w:trHeight w:val="930"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14:paraId="335A9B63">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G25020</w:t>
            </w:r>
          </w:p>
        </w:tc>
        <w:tc>
          <w:tcPr>
            <w:tcW w:w="1686" w:type="dxa"/>
            <w:tcBorders>
              <w:top w:val="single" w:color="auto" w:sz="4" w:space="0"/>
              <w:left w:val="single" w:color="auto" w:sz="4" w:space="0"/>
              <w:bottom w:val="single" w:color="auto" w:sz="4" w:space="0"/>
              <w:right w:val="single" w:color="auto" w:sz="4" w:space="0"/>
            </w:tcBorders>
            <w:vAlign w:val="center"/>
          </w:tcPr>
          <w:p w14:paraId="3EBBA86B">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金湖大道西侧、桑梓路南侧居住用地B地块</w:t>
            </w:r>
          </w:p>
        </w:tc>
        <w:tc>
          <w:tcPr>
            <w:tcW w:w="885" w:type="dxa"/>
            <w:tcBorders>
              <w:top w:val="single" w:color="auto" w:sz="4" w:space="0"/>
              <w:left w:val="single" w:color="auto" w:sz="4" w:space="0"/>
              <w:bottom w:val="single" w:color="auto" w:sz="4" w:space="0"/>
              <w:right w:val="single" w:color="auto" w:sz="4" w:space="0"/>
            </w:tcBorders>
            <w:vAlign w:val="center"/>
          </w:tcPr>
          <w:p w14:paraId="55E2CDC3">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49662.39</w:t>
            </w:r>
          </w:p>
        </w:tc>
        <w:tc>
          <w:tcPr>
            <w:tcW w:w="929" w:type="dxa"/>
            <w:tcBorders>
              <w:top w:val="single" w:color="auto" w:sz="4" w:space="0"/>
              <w:left w:val="single" w:color="auto" w:sz="4" w:space="0"/>
              <w:bottom w:val="single" w:color="auto" w:sz="4" w:space="0"/>
              <w:right w:val="single" w:color="auto" w:sz="4" w:space="0"/>
            </w:tcBorders>
            <w:vAlign w:val="center"/>
          </w:tcPr>
          <w:p w14:paraId="2B90E7AF">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45000.97</w:t>
            </w:r>
          </w:p>
        </w:tc>
        <w:tc>
          <w:tcPr>
            <w:tcW w:w="795" w:type="dxa"/>
            <w:tcBorders>
              <w:top w:val="single" w:color="auto" w:sz="4" w:space="0"/>
              <w:left w:val="single" w:color="auto" w:sz="4" w:space="0"/>
              <w:bottom w:val="single" w:color="auto" w:sz="4" w:space="0"/>
              <w:right w:val="single" w:color="auto" w:sz="4" w:space="0"/>
            </w:tcBorders>
            <w:vAlign w:val="center"/>
          </w:tcPr>
          <w:p w14:paraId="4299CF54">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居住用地</w:t>
            </w:r>
          </w:p>
        </w:tc>
        <w:tc>
          <w:tcPr>
            <w:tcW w:w="7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58ADE64">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≤2.1（商业≤5%）</w:t>
            </w:r>
          </w:p>
        </w:tc>
        <w:tc>
          <w:tcPr>
            <w:tcW w:w="6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716CF36F">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≤30</w:t>
            </w:r>
          </w:p>
        </w:tc>
        <w:tc>
          <w:tcPr>
            <w:tcW w:w="67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5841A2DC">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≥30</w:t>
            </w:r>
          </w:p>
        </w:tc>
        <w:tc>
          <w:tcPr>
            <w:tcW w:w="1059" w:type="dxa"/>
            <w:tcBorders>
              <w:top w:val="single" w:color="auto" w:sz="4" w:space="0"/>
              <w:left w:val="single" w:color="auto" w:sz="4" w:space="0"/>
              <w:bottom w:val="single" w:color="auto" w:sz="4" w:space="0"/>
              <w:right w:val="single" w:color="auto" w:sz="4" w:space="0"/>
            </w:tcBorders>
            <w:vAlign w:val="center"/>
          </w:tcPr>
          <w:p w14:paraId="22AE2F9D">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住宅70年</w:t>
            </w:r>
          </w:p>
          <w:p w14:paraId="32DA64EA">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商服40年</w:t>
            </w:r>
          </w:p>
        </w:tc>
        <w:tc>
          <w:tcPr>
            <w:tcW w:w="730" w:type="dxa"/>
            <w:tcBorders>
              <w:top w:val="single" w:color="auto" w:sz="4" w:space="0"/>
              <w:left w:val="single" w:color="auto" w:sz="4" w:space="0"/>
              <w:bottom w:val="single" w:color="auto" w:sz="4" w:space="0"/>
              <w:right w:val="single" w:color="auto" w:sz="4" w:space="0"/>
            </w:tcBorders>
            <w:vAlign w:val="center"/>
          </w:tcPr>
          <w:p w14:paraId="2F29A581">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1951</w:t>
            </w:r>
          </w:p>
        </w:tc>
        <w:tc>
          <w:tcPr>
            <w:tcW w:w="772" w:type="dxa"/>
            <w:tcBorders>
              <w:top w:val="single" w:color="auto" w:sz="4" w:space="0"/>
              <w:left w:val="single" w:color="auto" w:sz="4" w:space="0"/>
              <w:bottom w:val="single" w:color="auto" w:sz="4" w:space="0"/>
              <w:right w:val="single" w:color="auto" w:sz="4" w:space="0"/>
            </w:tcBorders>
            <w:vAlign w:val="center"/>
          </w:tcPr>
          <w:p w14:paraId="74CC111C">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9755</w:t>
            </w:r>
          </w:p>
        </w:tc>
      </w:tr>
      <w:tr w14:paraId="3B9C2AA3">
        <w:tblPrEx>
          <w:tblCellMar>
            <w:top w:w="0" w:type="dxa"/>
            <w:left w:w="0" w:type="dxa"/>
            <w:bottom w:w="0" w:type="dxa"/>
            <w:right w:w="0" w:type="dxa"/>
          </w:tblCellMar>
        </w:tblPrEx>
        <w:trPr>
          <w:cantSplit/>
          <w:trHeight w:val="930" w:hRule="atLeast"/>
          <w:jc w:val="center"/>
        </w:trPr>
        <w:tc>
          <w:tcPr>
            <w:tcW w:w="771" w:type="dxa"/>
            <w:tcBorders>
              <w:top w:val="single" w:color="auto" w:sz="4" w:space="0"/>
              <w:left w:val="single" w:color="auto" w:sz="4" w:space="0"/>
              <w:bottom w:val="single" w:color="auto" w:sz="4" w:space="0"/>
              <w:right w:val="single" w:color="auto" w:sz="4" w:space="0"/>
            </w:tcBorders>
            <w:vAlign w:val="center"/>
          </w:tcPr>
          <w:p w14:paraId="2E6F0EA0">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G25021</w:t>
            </w:r>
          </w:p>
        </w:tc>
        <w:tc>
          <w:tcPr>
            <w:tcW w:w="1686" w:type="dxa"/>
            <w:tcBorders>
              <w:top w:val="single" w:color="auto" w:sz="4" w:space="0"/>
              <w:left w:val="single" w:color="auto" w:sz="4" w:space="0"/>
              <w:bottom w:val="single" w:color="auto" w:sz="4" w:space="0"/>
              <w:right w:val="single" w:color="auto" w:sz="4" w:space="0"/>
            </w:tcBorders>
            <w:vAlign w:val="center"/>
          </w:tcPr>
          <w:p w14:paraId="7DEF9A79">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金湖大道西侧、桑梓路南侧加油加气站地块（一期）</w:t>
            </w:r>
          </w:p>
        </w:tc>
        <w:tc>
          <w:tcPr>
            <w:tcW w:w="885" w:type="dxa"/>
            <w:tcBorders>
              <w:top w:val="single" w:color="auto" w:sz="4" w:space="0"/>
              <w:left w:val="single" w:color="auto" w:sz="4" w:space="0"/>
              <w:bottom w:val="single" w:color="auto" w:sz="4" w:space="0"/>
              <w:right w:val="single" w:color="auto" w:sz="4" w:space="0"/>
            </w:tcBorders>
            <w:vAlign w:val="center"/>
          </w:tcPr>
          <w:p w14:paraId="7E3E3BBB">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8442.66</w:t>
            </w:r>
          </w:p>
        </w:tc>
        <w:tc>
          <w:tcPr>
            <w:tcW w:w="929" w:type="dxa"/>
            <w:tcBorders>
              <w:top w:val="single" w:color="auto" w:sz="4" w:space="0"/>
              <w:left w:val="single" w:color="auto" w:sz="4" w:space="0"/>
              <w:bottom w:val="single" w:color="auto" w:sz="4" w:space="0"/>
              <w:right w:val="single" w:color="auto" w:sz="4" w:space="0"/>
            </w:tcBorders>
            <w:vAlign w:val="center"/>
          </w:tcPr>
          <w:p w14:paraId="2281190C">
            <w:pPr>
              <w:spacing w:line="240" w:lineRule="exact"/>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6008.26</w:t>
            </w:r>
          </w:p>
        </w:tc>
        <w:tc>
          <w:tcPr>
            <w:tcW w:w="795" w:type="dxa"/>
            <w:tcBorders>
              <w:top w:val="single" w:color="auto" w:sz="4" w:space="0"/>
              <w:left w:val="single" w:color="auto" w:sz="4" w:space="0"/>
              <w:bottom w:val="single" w:color="auto" w:sz="4" w:space="0"/>
              <w:right w:val="single" w:color="auto" w:sz="4" w:space="0"/>
            </w:tcBorders>
            <w:vAlign w:val="center"/>
          </w:tcPr>
          <w:p w14:paraId="78BA3F68">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公用营业设施网点用地（加油加气站）</w:t>
            </w:r>
          </w:p>
        </w:tc>
        <w:tc>
          <w:tcPr>
            <w:tcW w:w="79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0BDECC04">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≤0.5</w:t>
            </w:r>
          </w:p>
        </w:tc>
        <w:tc>
          <w:tcPr>
            <w:tcW w:w="641"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29443483">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≤40</w:t>
            </w:r>
          </w:p>
        </w:tc>
        <w:tc>
          <w:tcPr>
            <w:tcW w:w="670"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32CF608E">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≥10</w:t>
            </w:r>
          </w:p>
        </w:tc>
        <w:tc>
          <w:tcPr>
            <w:tcW w:w="1059" w:type="dxa"/>
            <w:tcBorders>
              <w:top w:val="single" w:color="auto" w:sz="4" w:space="0"/>
              <w:left w:val="single" w:color="auto" w:sz="4" w:space="0"/>
              <w:bottom w:val="single" w:color="auto" w:sz="4" w:space="0"/>
              <w:right w:val="single" w:color="auto" w:sz="4" w:space="0"/>
            </w:tcBorders>
            <w:vAlign w:val="center"/>
          </w:tcPr>
          <w:p w14:paraId="1792CC98">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商服40年</w:t>
            </w:r>
          </w:p>
        </w:tc>
        <w:tc>
          <w:tcPr>
            <w:tcW w:w="730" w:type="dxa"/>
            <w:tcBorders>
              <w:top w:val="single" w:color="auto" w:sz="4" w:space="0"/>
              <w:left w:val="single" w:color="auto" w:sz="4" w:space="0"/>
              <w:bottom w:val="single" w:color="auto" w:sz="4" w:space="0"/>
              <w:right w:val="single" w:color="auto" w:sz="4" w:space="0"/>
            </w:tcBorders>
            <w:vAlign w:val="center"/>
          </w:tcPr>
          <w:p w14:paraId="6952951F">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612</w:t>
            </w:r>
          </w:p>
        </w:tc>
        <w:tc>
          <w:tcPr>
            <w:tcW w:w="772" w:type="dxa"/>
            <w:tcBorders>
              <w:top w:val="single" w:color="auto" w:sz="4" w:space="0"/>
              <w:left w:val="single" w:color="auto" w:sz="4" w:space="0"/>
              <w:bottom w:val="single" w:color="auto" w:sz="4" w:space="0"/>
              <w:right w:val="single" w:color="auto" w:sz="4" w:space="0"/>
            </w:tcBorders>
            <w:vAlign w:val="center"/>
          </w:tcPr>
          <w:p w14:paraId="0D02DB4E">
            <w:pPr>
              <w:jc w:val="center"/>
              <w:rPr>
                <w:rFonts w:hint="eastAsia" w:ascii="仿宋" w:hAnsi="仿宋" w:eastAsia="仿宋" w:cs="仿宋"/>
                <w:b w:val="0"/>
                <w:bCs w:val="0"/>
                <w:sz w:val="18"/>
                <w:szCs w:val="18"/>
                <w:lang w:val="en-US" w:eastAsia="zh-CN"/>
              </w:rPr>
            </w:pPr>
            <w:r>
              <w:rPr>
                <w:rFonts w:hint="eastAsia" w:ascii="仿宋" w:hAnsi="仿宋" w:eastAsia="仿宋" w:cs="仿宋"/>
                <w:b w:val="0"/>
                <w:bCs w:val="0"/>
                <w:sz w:val="18"/>
                <w:szCs w:val="18"/>
                <w:lang w:val="en-US" w:eastAsia="zh-CN"/>
              </w:rPr>
              <w:t>3060</w:t>
            </w:r>
          </w:p>
        </w:tc>
      </w:tr>
      <w:tr w14:paraId="4ED3C492">
        <w:tblPrEx>
          <w:tblCellMar>
            <w:top w:w="0" w:type="dxa"/>
            <w:left w:w="0" w:type="dxa"/>
            <w:bottom w:w="0" w:type="dxa"/>
            <w:right w:w="0" w:type="dxa"/>
          </w:tblCellMar>
        </w:tblPrEx>
        <w:trPr>
          <w:cantSplit/>
          <w:trHeight w:val="555" w:hRule="atLeast"/>
          <w:jc w:val="center"/>
        </w:trPr>
        <w:tc>
          <w:tcPr>
            <w:tcW w:w="9731" w:type="dxa"/>
            <w:gridSpan w:val="11"/>
            <w:tcBorders>
              <w:top w:val="single" w:color="auto" w:sz="4" w:space="0"/>
              <w:left w:val="single" w:color="auto" w:sz="4" w:space="0"/>
              <w:bottom w:val="single" w:color="auto" w:sz="4" w:space="0"/>
              <w:right w:val="single" w:color="auto" w:sz="4" w:space="0"/>
            </w:tcBorders>
            <w:vAlign w:val="center"/>
          </w:tcPr>
          <w:p w14:paraId="55D435BF">
            <w:pPr>
              <w:spacing w:line="240" w:lineRule="exact"/>
              <w:rPr>
                <w:rFonts w:hint="eastAsia" w:ascii="仿宋" w:hAnsi="仿宋" w:eastAsia="仿宋" w:cs="仿宋"/>
                <w:color w:val="auto"/>
                <w:sz w:val="18"/>
                <w:szCs w:val="18"/>
              </w:rPr>
            </w:pPr>
            <w:r>
              <w:rPr>
                <w:rFonts w:hint="eastAsia" w:ascii="仿宋" w:hAnsi="仿宋" w:eastAsia="仿宋" w:cs="仿宋"/>
                <w:color w:val="auto"/>
                <w:sz w:val="18"/>
                <w:szCs w:val="18"/>
              </w:rPr>
              <w:t>规划计容建筑面积：</w:t>
            </w:r>
            <w:r>
              <w:rPr>
                <w:rFonts w:hint="eastAsia" w:ascii="仿宋" w:hAnsi="仿宋" w:eastAsia="仿宋" w:cs="仿宋"/>
                <w:color w:val="auto"/>
                <w:sz w:val="18"/>
                <w:szCs w:val="18"/>
                <w:lang w:val="en-US" w:eastAsia="zh-CN"/>
              </w:rPr>
              <w:t>G25019≤76216㎡；G25020≤94502㎡；G25021≤3004㎡</w:t>
            </w:r>
            <w:r>
              <w:rPr>
                <w:rFonts w:hint="eastAsia" w:ascii="仿宋" w:hAnsi="仿宋" w:eastAsia="仿宋" w:cs="仿宋"/>
                <w:color w:val="auto"/>
                <w:sz w:val="18"/>
                <w:szCs w:val="18"/>
                <w:lang w:eastAsia="zh-CN"/>
              </w:rPr>
              <w:t>。</w:t>
            </w:r>
          </w:p>
        </w:tc>
      </w:tr>
    </w:tbl>
    <w:p w14:paraId="36CDE730">
      <w:pPr>
        <w:spacing w:line="540" w:lineRule="exact"/>
        <w:ind w:firstLine="640" w:firstLineChars="200"/>
        <w:rPr>
          <w:rFonts w:hint="eastAsia" w:ascii="仿宋" w:hAnsi="仿宋" w:eastAsia="仿宋"/>
          <w:color w:val="auto"/>
          <w:sz w:val="32"/>
        </w:rPr>
      </w:pPr>
      <w:r>
        <w:rPr>
          <w:rFonts w:hint="eastAsia" w:ascii="仿宋" w:hAnsi="仿宋" w:eastAsia="仿宋"/>
          <w:color w:val="auto"/>
          <w:sz w:val="32"/>
        </w:rPr>
        <w:t>四、特别约定</w:t>
      </w:r>
    </w:p>
    <w:p w14:paraId="1FADFC67">
      <w:pPr>
        <w:numPr>
          <w:ilvl w:val="0"/>
          <w:numId w:val="2"/>
        </w:numPr>
        <w:spacing w:line="540" w:lineRule="exact"/>
        <w:ind w:firstLine="640" w:firstLineChars="200"/>
        <w:rPr>
          <w:rFonts w:hint="eastAsia" w:ascii="仿宋" w:hAnsi="仿宋" w:eastAsia="仿宋"/>
          <w:color w:val="auto"/>
          <w:sz w:val="32"/>
          <w:szCs w:val="32"/>
          <w:lang w:eastAsia="zh-CN"/>
        </w:rPr>
      </w:pPr>
      <w:r>
        <w:rPr>
          <w:rFonts w:hint="eastAsia" w:ascii="仿宋" w:hAnsi="仿宋" w:eastAsia="仿宋"/>
          <w:color w:val="auto"/>
          <w:sz w:val="32"/>
          <w:szCs w:val="32"/>
        </w:rPr>
        <w:t>土地开发程度：</w:t>
      </w:r>
      <w:r>
        <w:rPr>
          <w:rFonts w:hint="eastAsia" w:ascii="仿宋" w:hAnsi="仿宋" w:eastAsia="仿宋"/>
          <w:color w:val="auto"/>
          <w:sz w:val="32"/>
          <w:szCs w:val="32"/>
          <w:lang w:val="en-US" w:eastAsia="zh-CN"/>
        </w:rPr>
        <w:t>上述</w:t>
      </w:r>
      <w:r>
        <w:rPr>
          <w:rFonts w:hint="eastAsia" w:ascii="仿宋" w:hAnsi="仿宋" w:eastAsia="仿宋"/>
          <w:color w:val="auto"/>
          <w:sz w:val="32"/>
          <w:szCs w:val="32"/>
        </w:rPr>
        <w:t>宗地外</w:t>
      </w:r>
      <w:r>
        <w:rPr>
          <w:rFonts w:hint="eastAsia" w:ascii="仿宋" w:hAnsi="仿宋" w:eastAsia="仿宋"/>
          <w:color w:val="auto"/>
          <w:sz w:val="32"/>
          <w:szCs w:val="32"/>
          <w:lang w:val="en-US" w:eastAsia="zh-CN"/>
        </w:rPr>
        <w:t>五</w:t>
      </w:r>
      <w:r>
        <w:rPr>
          <w:rFonts w:hint="eastAsia" w:ascii="仿宋" w:hAnsi="仿宋" w:eastAsia="仿宋"/>
          <w:color w:val="auto"/>
          <w:sz w:val="32"/>
          <w:szCs w:val="32"/>
        </w:rPr>
        <w:t>通，即通路、通电、</w:t>
      </w:r>
      <w:r>
        <w:rPr>
          <w:rFonts w:hint="eastAsia" w:ascii="仿宋" w:hAnsi="仿宋" w:eastAsia="仿宋"/>
          <w:color w:val="auto"/>
          <w:sz w:val="32"/>
          <w:szCs w:val="32"/>
          <w:lang w:val="en-US" w:eastAsia="zh-CN"/>
        </w:rPr>
        <w:t>通讯、</w:t>
      </w:r>
      <w:r>
        <w:rPr>
          <w:rFonts w:hint="eastAsia" w:ascii="仿宋" w:hAnsi="仿宋" w:eastAsia="仿宋"/>
          <w:color w:val="auto"/>
          <w:sz w:val="32"/>
          <w:szCs w:val="32"/>
        </w:rPr>
        <w:t>通上水</w:t>
      </w:r>
      <w:r>
        <w:rPr>
          <w:rFonts w:hint="eastAsia" w:ascii="仿宋" w:hAnsi="仿宋" w:eastAsia="仿宋"/>
          <w:color w:val="auto"/>
          <w:sz w:val="32"/>
          <w:szCs w:val="32"/>
          <w:lang w:eastAsia="zh-CN"/>
        </w:rPr>
        <w:t>、</w:t>
      </w:r>
      <w:r>
        <w:rPr>
          <w:rFonts w:hint="eastAsia" w:ascii="仿宋" w:hAnsi="仿宋" w:eastAsia="仿宋"/>
          <w:color w:val="auto"/>
          <w:sz w:val="32"/>
          <w:szCs w:val="32"/>
          <w:lang w:val="en-US" w:eastAsia="zh-CN"/>
        </w:rPr>
        <w:t>通下水</w:t>
      </w:r>
      <w:r>
        <w:rPr>
          <w:rFonts w:hint="eastAsia" w:ascii="仿宋" w:hAnsi="仿宋" w:eastAsia="仿宋"/>
          <w:color w:val="auto"/>
          <w:sz w:val="32"/>
          <w:szCs w:val="32"/>
        </w:rPr>
        <w:t>，宗地内场地现状交付</w:t>
      </w:r>
      <w:r>
        <w:rPr>
          <w:rFonts w:hint="eastAsia" w:ascii="仿宋" w:hAnsi="仿宋" w:eastAsia="仿宋"/>
          <w:color w:val="auto"/>
          <w:sz w:val="32"/>
          <w:szCs w:val="32"/>
          <w:lang w:eastAsia="zh-CN"/>
        </w:rPr>
        <w:t>。</w:t>
      </w:r>
    </w:p>
    <w:p w14:paraId="5DC6F8B6">
      <w:pPr>
        <w:pStyle w:val="2"/>
        <w:numPr>
          <w:ilvl w:val="0"/>
          <w:numId w:val="2"/>
        </w:numPr>
        <w:ind w:firstLine="640" w:firstLineChars="200"/>
        <w:rPr>
          <w:rFonts w:hint="eastAsia" w:ascii="仿宋" w:hAnsi="仿宋" w:eastAsia="仿宋"/>
          <w:b w:val="0"/>
          <w:bCs w:val="0"/>
          <w:color w:val="auto"/>
          <w:kern w:val="2"/>
          <w:sz w:val="32"/>
          <w:szCs w:val="32"/>
          <w:lang w:val="en-US" w:eastAsia="zh-CN"/>
        </w:rPr>
      </w:pPr>
      <w:r>
        <w:rPr>
          <w:rFonts w:hint="eastAsia" w:ascii="仿宋" w:hAnsi="仿宋" w:eastAsia="仿宋"/>
          <w:b w:val="0"/>
          <w:bCs w:val="0"/>
          <w:color w:val="auto"/>
          <w:kern w:val="2"/>
          <w:sz w:val="32"/>
          <w:szCs w:val="32"/>
          <w:lang w:val="en-US" w:eastAsia="zh-CN"/>
        </w:rPr>
        <w:t>根据湖北省自然资源厅关于印发《加强自然资源要素保障 全力服务支点建设若干措施》的通知，上述3宗地块采取组合打包供应，竞买人需一次缴纳三宗地块保证金，同时参与三宗地块竞买，竞得人未同时参与三宗地块竞买的，如已取得竞买资格，出让人可取消其竞买资格，已报价的其出价作废，如已竞得土地的，出让人可取消其竞得资格。</w:t>
      </w:r>
    </w:p>
    <w:p w14:paraId="703B19FF">
      <w:pPr>
        <w:pStyle w:val="2"/>
        <w:numPr>
          <w:ilvl w:val="0"/>
          <w:numId w:val="2"/>
        </w:numPr>
        <w:ind w:firstLine="640" w:firstLineChars="200"/>
        <w:rPr>
          <w:rFonts w:hint="eastAsia" w:ascii="仿宋" w:hAnsi="仿宋" w:eastAsia="仿宋"/>
          <w:b w:val="0"/>
          <w:bCs w:val="0"/>
          <w:color w:val="auto"/>
          <w:kern w:val="2"/>
          <w:sz w:val="32"/>
          <w:szCs w:val="32"/>
          <w:lang w:val="en-US" w:eastAsia="zh-CN"/>
        </w:rPr>
      </w:pPr>
      <w:r>
        <w:rPr>
          <w:rFonts w:hint="eastAsia" w:ascii="仿宋" w:hAnsi="仿宋" w:eastAsia="仿宋"/>
          <w:b w:val="0"/>
          <w:bCs w:val="0"/>
          <w:color w:val="auto"/>
          <w:kern w:val="2"/>
          <w:sz w:val="32"/>
          <w:szCs w:val="32"/>
          <w:lang w:val="en-US" w:eastAsia="zh-CN"/>
        </w:rPr>
        <w:t>竞得人需无偿配建一所12班幼儿园，用地面积不小于4860㎡（该用地为划拨用地），建筑面积不小于3600㎡，建成后其用地及产权无偿移交政府有关部门。</w:t>
      </w:r>
    </w:p>
    <w:p w14:paraId="472C59A7">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ascii="仿宋" w:hAnsi="仿宋" w:eastAsia="仿宋"/>
          <w:color w:val="auto"/>
          <w:sz w:val="32"/>
          <w:szCs w:val="32"/>
        </w:rPr>
      </w:pPr>
      <w:r>
        <w:rPr>
          <w:rFonts w:hint="eastAsia" w:ascii="仿宋" w:hAnsi="仿宋" w:eastAsia="仿宋"/>
          <w:color w:val="auto"/>
          <w:sz w:val="32"/>
          <w:szCs w:val="32"/>
        </w:rPr>
        <w:t>（</w:t>
      </w:r>
      <w:r>
        <w:rPr>
          <w:rFonts w:hint="eastAsia" w:ascii="仿宋" w:hAnsi="仿宋" w:eastAsia="仿宋"/>
          <w:color w:val="auto"/>
          <w:sz w:val="32"/>
          <w:szCs w:val="32"/>
          <w:lang w:val="en-US" w:eastAsia="zh-CN"/>
        </w:rPr>
        <w:t>四</w:t>
      </w:r>
      <w:r>
        <w:rPr>
          <w:rFonts w:hint="eastAsia" w:ascii="仿宋" w:hAnsi="仿宋" w:eastAsia="仿宋"/>
          <w:color w:val="auto"/>
          <w:sz w:val="32"/>
          <w:szCs w:val="32"/>
        </w:rPr>
        <w:t>）上述宗地挂牌出让成交后，竞得人应在成交之日起</w:t>
      </w:r>
      <w:r>
        <w:rPr>
          <w:rFonts w:ascii="仿宋" w:hAnsi="仿宋" w:eastAsia="仿宋"/>
          <w:color w:val="auto"/>
          <w:sz w:val="32"/>
          <w:szCs w:val="32"/>
        </w:rPr>
        <w:t>30</w:t>
      </w:r>
      <w:r>
        <w:rPr>
          <w:rFonts w:hint="eastAsia" w:ascii="仿宋" w:hAnsi="仿宋" w:eastAsia="仿宋"/>
          <w:color w:val="auto"/>
          <w:sz w:val="32"/>
          <w:szCs w:val="32"/>
        </w:rPr>
        <w:t>日内</w:t>
      </w:r>
      <w:r>
        <w:rPr>
          <w:rFonts w:hint="eastAsia" w:ascii="仿宋" w:hAnsi="仿宋" w:eastAsia="仿宋"/>
          <w:color w:val="auto"/>
          <w:sz w:val="32"/>
          <w:szCs w:val="32"/>
          <w:lang w:val="en-US" w:eastAsia="zh-CN"/>
        </w:rPr>
        <w:t>与出让人签订《</w:t>
      </w:r>
      <w:r>
        <w:rPr>
          <w:rFonts w:hint="eastAsia" w:ascii="仿宋" w:hAnsi="仿宋" w:eastAsia="仿宋"/>
          <w:color w:val="auto"/>
          <w:sz w:val="32"/>
          <w:szCs w:val="32"/>
        </w:rPr>
        <w:t>国有建设用地使用权出让合同</w:t>
      </w:r>
      <w:r>
        <w:rPr>
          <w:rFonts w:hint="eastAsia" w:ascii="仿宋" w:hAnsi="仿宋" w:eastAsia="仿宋"/>
          <w:color w:val="auto"/>
          <w:sz w:val="32"/>
          <w:szCs w:val="32"/>
          <w:lang w:val="en-US" w:eastAsia="zh-CN"/>
        </w:rPr>
        <w:t>》，按土地出让合同约定</w:t>
      </w:r>
      <w:r>
        <w:rPr>
          <w:rFonts w:hint="eastAsia" w:ascii="仿宋" w:hAnsi="仿宋" w:eastAsia="仿宋"/>
          <w:color w:val="auto"/>
          <w:sz w:val="32"/>
          <w:szCs w:val="32"/>
        </w:rPr>
        <w:t>缴纳土地成交价款，并在签订出让合同后</w:t>
      </w:r>
      <w:r>
        <w:rPr>
          <w:rFonts w:ascii="仿宋" w:hAnsi="仿宋" w:eastAsia="仿宋"/>
          <w:color w:val="auto"/>
          <w:sz w:val="32"/>
          <w:szCs w:val="32"/>
        </w:rPr>
        <w:t>10</w:t>
      </w:r>
      <w:r>
        <w:rPr>
          <w:rFonts w:hint="eastAsia" w:ascii="仿宋" w:hAnsi="仿宋" w:eastAsia="仿宋"/>
          <w:color w:val="auto"/>
          <w:sz w:val="32"/>
          <w:szCs w:val="32"/>
        </w:rPr>
        <w:t>个工作日内建立“建设项目信息公示牌”，公示牌具体规格及公示内容由大冶市自然资源和规划局另行告知。</w:t>
      </w:r>
    </w:p>
    <w:p w14:paraId="3208B6B7">
      <w:pPr>
        <w:pStyle w:val="2"/>
        <w:ind w:firstLine="640"/>
        <w:rPr>
          <w:rFonts w:hint="eastAsia" w:ascii="仿宋" w:hAnsi="仿宋" w:eastAsia="仿宋"/>
          <w:b w:val="0"/>
          <w:bCs w:val="0"/>
          <w:color w:val="auto"/>
          <w:kern w:val="2"/>
          <w:sz w:val="32"/>
          <w:szCs w:val="32"/>
        </w:rPr>
      </w:pPr>
      <w:r>
        <w:rPr>
          <w:rFonts w:hint="eastAsia" w:ascii="仿宋" w:hAnsi="仿宋" w:eastAsia="仿宋"/>
          <w:b w:val="0"/>
          <w:bCs w:val="0"/>
          <w:color w:val="auto"/>
          <w:kern w:val="2"/>
          <w:sz w:val="32"/>
          <w:szCs w:val="32"/>
        </w:rPr>
        <w:t>（</w:t>
      </w:r>
      <w:r>
        <w:rPr>
          <w:rFonts w:hint="eastAsia" w:ascii="仿宋" w:hAnsi="仿宋" w:eastAsia="仿宋"/>
          <w:b w:val="0"/>
          <w:bCs w:val="0"/>
          <w:color w:val="auto"/>
          <w:kern w:val="2"/>
          <w:sz w:val="32"/>
          <w:szCs w:val="32"/>
          <w:lang w:val="en-US" w:eastAsia="zh-CN"/>
        </w:rPr>
        <w:t>五</w:t>
      </w:r>
      <w:r>
        <w:rPr>
          <w:rFonts w:hint="eastAsia" w:ascii="仿宋" w:hAnsi="仿宋" w:eastAsia="仿宋"/>
          <w:b w:val="0"/>
          <w:bCs w:val="0"/>
          <w:color w:val="auto"/>
          <w:kern w:val="2"/>
          <w:sz w:val="32"/>
          <w:szCs w:val="32"/>
        </w:rPr>
        <w:t>）上述宗地以现状挂牌出让，实际勘测交付面积与挂牌出让文件标明的出让面积差异率在</w:t>
      </w:r>
      <w:r>
        <w:rPr>
          <w:rFonts w:ascii="仿宋" w:hAnsi="仿宋" w:eastAsia="仿宋"/>
          <w:b w:val="0"/>
          <w:bCs w:val="0"/>
          <w:color w:val="auto"/>
          <w:kern w:val="2"/>
          <w:sz w:val="32"/>
          <w:szCs w:val="32"/>
        </w:rPr>
        <w:t>1%</w:t>
      </w:r>
      <w:r>
        <w:rPr>
          <w:rFonts w:hint="eastAsia" w:ascii="仿宋" w:hAnsi="仿宋" w:eastAsia="仿宋"/>
          <w:b w:val="0"/>
          <w:bCs w:val="0"/>
          <w:color w:val="auto"/>
          <w:kern w:val="2"/>
          <w:sz w:val="32"/>
          <w:szCs w:val="32"/>
        </w:rPr>
        <w:t>以内的，面积差异不影响成交价格。</w:t>
      </w:r>
    </w:p>
    <w:p w14:paraId="3D8CF372">
      <w:pPr>
        <w:pStyle w:val="2"/>
        <w:ind w:firstLine="640"/>
        <w:rPr>
          <w:rFonts w:ascii="仿宋" w:hAnsi="仿宋" w:eastAsia="仿宋"/>
          <w:b w:val="0"/>
          <w:bCs w:val="0"/>
          <w:color w:val="auto"/>
          <w:kern w:val="2"/>
          <w:sz w:val="32"/>
          <w:szCs w:val="32"/>
        </w:rPr>
      </w:pPr>
      <w:r>
        <w:rPr>
          <w:rFonts w:hint="eastAsia" w:ascii="仿宋" w:hAnsi="仿宋" w:eastAsia="仿宋"/>
          <w:b w:val="0"/>
          <w:bCs w:val="0"/>
          <w:color w:val="auto"/>
          <w:kern w:val="2"/>
          <w:sz w:val="32"/>
          <w:szCs w:val="32"/>
        </w:rPr>
        <w:t>（</w:t>
      </w:r>
      <w:r>
        <w:rPr>
          <w:rFonts w:hint="eastAsia" w:ascii="仿宋" w:hAnsi="仿宋" w:eastAsia="仿宋"/>
          <w:b w:val="0"/>
          <w:bCs w:val="0"/>
          <w:color w:val="auto"/>
          <w:kern w:val="2"/>
          <w:sz w:val="32"/>
          <w:szCs w:val="32"/>
          <w:lang w:val="en-US" w:eastAsia="zh-CN"/>
        </w:rPr>
        <w:t>六</w:t>
      </w:r>
      <w:r>
        <w:rPr>
          <w:rFonts w:hint="eastAsia" w:ascii="仿宋" w:hAnsi="仿宋" w:eastAsia="仿宋"/>
          <w:b w:val="0"/>
          <w:bCs w:val="0"/>
          <w:color w:val="auto"/>
          <w:kern w:val="2"/>
          <w:sz w:val="32"/>
          <w:szCs w:val="32"/>
        </w:rPr>
        <w:t>）上述地块竞得人在宗地内依规划建设，连建地下建（构）筑物，使用地下建设用地使用权的，按照下列规定办理土地供应手续：</w:t>
      </w:r>
    </w:p>
    <w:p w14:paraId="550CE8B1">
      <w:pPr>
        <w:pStyle w:val="2"/>
        <w:ind w:firstLine="640"/>
        <w:rPr>
          <w:rFonts w:ascii="仿宋" w:hAnsi="仿宋" w:eastAsia="仿宋"/>
          <w:b w:val="0"/>
          <w:bCs w:val="0"/>
          <w:color w:val="auto"/>
          <w:kern w:val="2"/>
          <w:sz w:val="32"/>
          <w:szCs w:val="32"/>
        </w:rPr>
      </w:pPr>
      <w:r>
        <w:rPr>
          <w:rFonts w:ascii="仿宋" w:hAnsi="仿宋" w:eastAsia="仿宋"/>
          <w:b w:val="0"/>
          <w:bCs w:val="0"/>
          <w:color w:val="auto"/>
          <w:kern w:val="2"/>
          <w:sz w:val="32"/>
          <w:szCs w:val="32"/>
        </w:rPr>
        <w:t xml:space="preserve"> 1.</w:t>
      </w:r>
      <w:r>
        <w:rPr>
          <w:rFonts w:hint="eastAsia" w:ascii="仿宋" w:hAnsi="仿宋" w:eastAsia="仿宋"/>
          <w:b w:val="0"/>
          <w:bCs w:val="0"/>
          <w:color w:val="auto"/>
          <w:kern w:val="2"/>
          <w:sz w:val="32"/>
          <w:szCs w:val="32"/>
        </w:rPr>
        <w:t>符合划拨用地目录的，可以划拨方式办理土地供应手续；</w:t>
      </w:r>
    </w:p>
    <w:p w14:paraId="3EF707DC">
      <w:pPr>
        <w:pStyle w:val="2"/>
        <w:ind w:firstLine="640"/>
        <w:rPr>
          <w:rFonts w:ascii="仿宋" w:hAnsi="仿宋" w:eastAsia="仿宋"/>
          <w:b w:val="0"/>
          <w:bCs w:val="0"/>
          <w:color w:val="auto"/>
          <w:kern w:val="2"/>
          <w:sz w:val="32"/>
          <w:szCs w:val="32"/>
        </w:rPr>
      </w:pPr>
      <w:r>
        <w:rPr>
          <w:rFonts w:ascii="仿宋" w:hAnsi="仿宋" w:eastAsia="仿宋"/>
          <w:b w:val="0"/>
          <w:bCs w:val="0"/>
          <w:color w:val="auto"/>
          <w:kern w:val="2"/>
          <w:sz w:val="32"/>
          <w:szCs w:val="32"/>
        </w:rPr>
        <w:t xml:space="preserve"> 2.</w:t>
      </w:r>
      <w:r>
        <w:rPr>
          <w:rFonts w:hint="eastAsia" w:ascii="仿宋" w:hAnsi="仿宋" w:eastAsia="仿宋"/>
          <w:b w:val="0"/>
          <w:bCs w:val="0"/>
          <w:color w:val="auto"/>
          <w:kern w:val="2"/>
          <w:sz w:val="32"/>
          <w:szCs w:val="32"/>
        </w:rPr>
        <w:t>不符合划拨用地目录的，经依法批准以协议方式办理出让手续，按照不低于出让时相同主导功能用途、土地级别、使用年限的地上建设用地市场价标准的</w:t>
      </w:r>
      <w:r>
        <w:rPr>
          <w:rFonts w:ascii="仿宋" w:hAnsi="仿宋" w:eastAsia="仿宋"/>
          <w:b w:val="0"/>
          <w:bCs w:val="0"/>
          <w:color w:val="auto"/>
          <w:kern w:val="2"/>
          <w:sz w:val="32"/>
          <w:szCs w:val="32"/>
        </w:rPr>
        <w:t>30%</w:t>
      </w:r>
      <w:r>
        <w:rPr>
          <w:rFonts w:hint="eastAsia" w:ascii="仿宋" w:hAnsi="仿宋" w:eastAsia="仿宋"/>
          <w:b w:val="0"/>
          <w:bCs w:val="0"/>
          <w:color w:val="auto"/>
          <w:kern w:val="2"/>
          <w:sz w:val="32"/>
          <w:szCs w:val="32"/>
        </w:rPr>
        <w:t>缴纳土地出让价款。</w:t>
      </w:r>
    </w:p>
    <w:p w14:paraId="4384E874">
      <w:pPr>
        <w:pStyle w:val="2"/>
        <w:ind w:firstLine="640"/>
        <w:rPr>
          <w:rFonts w:ascii="仿宋" w:hAnsi="仿宋" w:eastAsia="仿宋"/>
          <w:b w:val="0"/>
          <w:bCs w:val="0"/>
          <w:color w:val="auto"/>
          <w:kern w:val="2"/>
          <w:sz w:val="32"/>
          <w:szCs w:val="32"/>
        </w:rPr>
      </w:pPr>
    </w:p>
    <w:p w14:paraId="72446FB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eastAsia="仿宋_GB2312"/>
          <w:sz w:val="32"/>
          <w:lang w:val="en-US" w:eastAsia="zh-CN"/>
        </w:rPr>
      </w:pPr>
      <w:r>
        <w:rPr>
          <w:rFonts w:hint="eastAsia" w:eastAsia="仿宋_GB2312"/>
          <w:sz w:val="32"/>
          <w:lang w:val="en-US" w:eastAsia="zh-CN"/>
        </w:rPr>
        <w:t>五、竞买资格及要求</w:t>
      </w:r>
    </w:p>
    <w:p w14:paraId="3092671D">
      <w:pPr>
        <w:pStyle w:val="2"/>
        <w:ind w:firstLine="640"/>
        <w:rPr>
          <w:rFonts w:ascii="仿宋" w:hAnsi="仿宋" w:eastAsia="仿宋"/>
          <w:b w:val="0"/>
          <w:bCs w:val="0"/>
          <w:color w:val="auto"/>
          <w:kern w:val="2"/>
          <w:sz w:val="32"/>
          <w:szCs w:val="32"/>
        </w:rPr>
      </w:pPr>
      <w:r>
        <w:rPr>
          <w:rFonts w:hint="eastAsia" w:ascii="仿宋" w:hAnsi="仿宋" w:eastAsia="仿宋"/>
          <w:b w:val="0"/>
          <w:bCs w:val="0"/>
          <w:color w:val="auto"/>
          <w:kern w:val="2"/>
          <w:sz w:val="32"/>
          <w:szCs w:val="32"/>
        </w:rPr>
        <w:t>（一）中华人民共和国境内外的法人和其他组织均可申请参加，申请人可以单独申请，也可以联合申请</w:t>
      </w:r>
      <w:r>
        <w:rPr>
          <w:rFonts w:hint="eastAsia" w:ascii="仿宋" w:hAnsi="仿宋" w:eastAsia="仿宋"/>
          <w:b w:val="0"/>
          <w:bCs w:val="0"/>
          <w:color w:val="auto"/>
          <w:kern w:val="2"/>
          <w:sz w:val="32"/>
          <w:szCs w:val="32"/>
          <w:lang w:eastAsia="zh-CN"/>
        </w:rPr>
        <w:t>，</w:t>
      </w:r>
      <w:r>
        <w:rPr>
          <w:rFonts w:hint="eastAsia" w:ascii="仿宋" w:hAnsi="仿宋" w:eastAsia="仿宋"/>
          <w:b w:val="0"/>
          <w:bCs w:val="0"/>
          <w:color w:val="auto"/>
          <w:kern w:val="2"/>
          <w:sz w:val="32"/>
          <w:szCs w:val="32"/>
          <w:lang w:val="en-US" w:eastAsia="zh-CN"/>
        </w:rPr>
        <w:t>自然人不得申请参加土地竞买活动</w:t>
      </w:r>
      <w:r>
        <w:rPr>
          <w:rFonts w:hint="eastAsia" w:ascii="仿宋" w:hAnsi="仿宋" w:eastAsia="仿宋"/>
          <w:b w:val="0"/>
          <w:bCs w:val="0"/>
          <w:color w:val="auto"/>
          <w:kern w:val="2"/>
          <w:sz w:val="32"/>
          <w:szCs w:val="32"/>
        </w:rPr>
        <w:t>。</w:t>
      </w:r>
    </w:p>
    <w:p w14:paraId="5BC1234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凡存在伪造公文骗取用地手续和非法倒卖土地、非法转让土地使用权、因企业原因造成土地闲置一年以上、违背出让合同约定条件开发利用土地、擅自改变保障性安居工程用地用途搞商品房开发等情形之一的企业或个人，在违法违规违约行为处理完毕之前，该企业（包括其控股股东及其控股股东新设企业）或个人不得参加土地竞买活动。</w:t>
      </w:r>
    </w:p>
    <w:p w14:paraId="1769605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（三）竞买申请人在参与网上挂牌交易活动期间须在“信用中国”网站（http://www.creditchina.gov.cn）无失信记录，若存在失信记录参加竞买活动的，其竞买申请为无效申请，竞买申请人自行承担相关法律后果。</w:t>
      </w:r>
    </w:p>
    <w:p w14:paraId="2715AE8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四）本次国有建设用地使用权挂牌出让只能在互联网上通过大冶市政府网“招投标”栏目国有土地网上交易系统进行。只有办理数字证书、通过网上注册、足额交纳竞买保证金的申请人，才能参加网上挂牌出让活动。</w:t>
      </w:r>
    </w:p>
    <w:p w14:paraId="5B6C1A4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（五）只接受网上报名、网上竞买申请及报价。竞买人的网上竞买报价一经系统确认，不能修改或撤回。不接受电话、邮寄、书面、口头等其他方式的竞买申请和报价。</w:t>
      </w:r>
    </w:p>
    <w:p w14:paraId="76F995A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六）交纳竞买保证金的截止时间为2025年6月24日17时00分（收款单位：大冶市公共资源交易中心；开户行：湖北银行股份有限公司大冶支行；账号：详见业务系统中“申请成功信息”页面）竞买人必须全部接受网上挂牌出让条件和挂牌文件，并按规定交纳竞买保证金后，方可参与竞买。</w:t>
      </w:r>
    </w:p>
    <w:p w14:paraId="0D7EB2C5">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（七）竞买人保证金必须从单位账户汇出，在网上交易系统点击“申购”,通过交易系统在2025年6月24日17时00分前,一次性足额将竞买保证金汇入我中心指定的保证金账户。</w:t>
      </w:r>
    </w:p>
    <w:p w14:paraId="05140E1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六、竞买申请</w:t>
      </w:r>
    </w:p>
    <w:p w14:paraId="3D4B620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我中心将通过互联网站(网址：http://www.hbdaye.gov.cn/)“招投标”栏目发布网上挂牌出让相关文件。有意竞买者须登陆该系统，在网上浏览或下载本次挂牌出让文件，网上挂牌出让文件具体包括：</w:t>
      </w:r>
    </w:p>
    <w:p w14:paraId="1D59027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（一）《国有建设用地使用权网上挂牌出让公告》(以下简称《出让公告》)；</w:t>
      </w:r>
    </w:p>
    <w:p w14:paraId="4757A041">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（二）《国有建设用地使用权网上挂牌出让规则》(以下简称《出让规则》)；</w:t>
      </w:r>
    </w:p>
    <w:p w14:paraId="4D5072D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（三）《国有建设用地使用权网上挂牌出让须知》(以下简称《出让须知》)；</w:t>
      </w:r>
    </w:p>
    <w:p w14:paraId="6C55141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（四）</w:t>
      </w:r>
      <w:r>
        <w:rPr>
          <w:rFonts w:hint="eastAsia" w:eastAsia="仿宋_GB2312"/>
          <w:sz w:val="32"/>
          <w:lang w:val="en-US" w:eastAsia="zh-CN"/>
        </w:rPr>
        <w:t>竞买申请书；</w:t>
      </w:r>
    </w:p>
    <w:p w14:paraId="30CBC7A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（五）</w:t>
      </w:r>
      <w:r>
        <w:rPr>
          <w:rFonts w:hint="eastAsia" w:eastAsia="仿宋_GB2312"/>
          <w:sz w:val="32"/>
          <w:lang w:val="en-US" w:eastAsia="zh-CN"/>
        </w:rPr>
        <w:t>挂牌出让宗地规划条件通知书；</w:t>
      </w:r>
    </w:p>
    <w:p w14:paraId="63CBD61F">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六</w:t>
      </w:r>
      <w:r>
        <w:rPr>
          <w:rFonts w:hint="eastAsia" w:eastAsia="仿宋_GB2312"/>
          <w:sz w:val="32"/>
          <w:lang w:val="zh-CN" w:eastAsia="zh-CN"/>
        </w:rPr>
        <w:t>）</w:t>
      </w:r>
      <w:r>
        <w:rPr>
          <w:rFonts w:hint="eastAsia" w:eastAsia="仿宋_GB2312"/>
          <w:sz w:val="32"/>
          <w:lang w:val="en-US" w:eastAsia="zh-CN"/>
        </w:rPr>
        <w:t>《国有建设用地网上挂牌出让成交确认书》(以下简称《成交确认书》)；</w:t>
      </w:r>
    </w:p>
    <w:p w14:paraId="38F19F1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七</w:t>
      </w:r>
      <w:r>
        <w:rPr>
          <w:rFonts w:hint="eastAsia" w:eastAsia="仿宋_GB2312"/>
          <w:sz w:val="32"/>
          <w:lang w:val="zh-CN" w:eastAsia="zh-CN"/>
        </w:rPr>
        <w:t>）</w:t>
      </w:r>
      <w:r>
        <w:rPr>
          <w:rFonts w:hint="eastAsia" w:eastAsia="仿宋_GB2312"/>
          <w:sz w:val="32"/>
          <w:lang w:val="en-US" w:eastAsia="zh-CN"/>
        </w:rPr>
        <w:t>宗地界址图；</w:t>
      </w:r>
    </w:p>
    <w:p w14:paraId="334DE5F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竞买申请及竞买保证金一经提交确认后，即视为竞买人对公开出让文件及地块现状无异议并全部接受，并对有关承诺承担法律责任。</w:t>
      </w:r>
    </w:p>
    <w:p w14:paraId="6382809C">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七、资格审查</w:t>
      </w:r>
    </w:p>
    <w:p w14:paraId="3F994C3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我中心通过网上挂牌出让交易系统自动确认竞买人资格。通过我中心网上挂牌出让交易系统提交竞买申请、竞买保证金，且通过交易系统资格审查的，方能取得竞买资格，网上将自动生成《竞买资格确认书》。</w:t>
      </w:r>
    </w:p>
    <w:p w14:paraId="08A7BBE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经审查，有下列情形之一的，为无效申请：</w:t>
      </w:r>
    </w:p>
    <w:p w14:paraId="12DB74DC">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（一）申请人不具备竞买资格的；</w:t>
      </w:r>
    </w:p>
    <w:p w14:paraId="2D0FECC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（二）未按规定交纳竞买保证金的；</w:t>
      </w:r>
    </w:p>
    <w:p w14:paraId="4BC23BE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（三）申请文件不齐全或不符合规定的；</w:t>
      </w:r>
    </w:p>
    <w:p w14:paraId="1682BEA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（四）法律法规规定的其他情形。</w:t>
      </w:r>
    </w:p>
    <w:p w14:paraId="2292E80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八、答疑及现场踏勘</w:t>
      </w:r>
    </w:p>
    <w:p w14:paraId="12E495F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竞买人必须全面阅读有关网上挂牌出让文件，对挂牌文件及宗地现状有疑问的，可通过电话向大冶市公共资源交易中心咨询，大冶市公共资源交易中心及时就咨询事项给予答复 (咨询电话：0714--3188055)。也可向大冶市自然资源和规划局及大冶市公共资源交易中心申请组织现场踏勘。</w:t>
      </w:r>
    </w:p>
    <w:p w14:paraId="6627A49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九、本次挂牌出让活动有关时间</w:t>
      </w:r>
    </w:p>
    <w:p w14:paraId="066286F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挂牌时间为10日，具体如下：</w:t>
      </w:r>
    </w:p>
    <w:p w14:paraId="0402055A">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1、挂牌起始时间：2024年6月16日上午10时；</w:t>
      </w:r>
    </w:p>
    <w:p w14:paraId="077457F2">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2、挂牌截止时间：2025年6月26日上午10时。</w:t>
      </w:r>
    </w:p>
    <w:p w14:paraId="7684730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十、挂牌程序</w:t>
      </w:r>
    </w:p>
    <w:p w14:paraId="19274B1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（一）在中国土地市场网、黄石市公共资源交易中心网、大冶市政府网、《今日大冶》等网站和媒体发布网上挂牌出让公告、出让宗地相关信息；</w:t>
      </w:r>
    </w:p>
    <w:p w14:paraId="5477EAC5">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（二）在挂牌期内，有意竞买者通过注册申请并缴纳竞买保证金至指定账户后，取得竞买资格；</w:t>
      </w:r>
    </w:p>
    <w:p w14:paraId="3175E475">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（三）竞买人在挂牌期内参与竞买，报价经系统确认无误后即显示为当前报价；</w:t>
      </w:r>
    </w:p>
    <w:p w14:paraId="422F45DB">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（四）</w:t>
      </w:r>
      <w:r>
        <w:rPr>
          <w:rFonts w:hint="eastAsia" w:eastAsia="仿宋_GB2312"/>
          <w:sz w:val="32"/>
          <w:lang w:val="en-US" w:eastAsia="zh-CN"/>
        </w:rPr>
        <w:t>网上交易系统根据挂牌截止时的最高报价且不低于底价的自动确定竞得人，竞得人可以下载系统生成的《成交确认书》及相关文件。</w:t>
      </w:r>
    </w:p>
    <w:p w14:paraId="5DF6318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（五）出让结果公布</w:t>
      </w:r>
    </w:p>
    <w:p w14:paraId="366742A7">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大冶市公共资源交易中心将在此次国有建设用地使用权挂牌出让活动结束后10个工作日内，在中国土地市场网、黄石市公共资源交易中心网、</w:t>
      </w:r>
      <w:r>
        <w:rPr>
          <w:rFonts w:hint="eastAsia" w:eastAsia="仿宋_GB2312"/>
          <w:sz w:val="32"/>
          <w:lang w:val="en-US" w:eastAsia="zh-CN"/>
        </w:rPr>
        <w:t>大冶市政府网等网站</w:t>
      </w:r>
      <w:r>
        <w:rPr>
          <w:rFonts w:hint="eastAsia" w:eastAsia="仿宋_GB2312"/>
          <w:sz w:val="32"/>
          <w:lang w:val="zh-CN" w:eastAsia="zh-CN"/>
        </w:rPr>
        <w:t>上公布本次国有建设用地使用权网上挂牌出让结果。</w:t>
      </w:r>
    </w:p>
    <w:p w14:paraId="30FFC47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本次网上挂牌出让交易的报价规则详见大冶市政府网“招投标”栏目国有土地网上交易系统上发布的《交易规则》第四章、第五章。</w:t>
      </w:r>
    </w:p>
    <w:p w14:paraId="693825A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default" w:eastAsia="仿宋_GB2312"/>
          <w:sz w:val="32"/>
          <w:lang w:val="en-US" w:eastAsia="zh-CN"/>
        </w:rPr>
      </w:pPr>
      <w:r>
        <w:rPr>
          <w:rFonts w:hint="eastAsia" w:eastAsia="仿宋_GB2312"/>
          <w:sz w:val="32"/>
          <w:lang w:val="en-US" w:eastAsia="zh-CN"/>
        </w:rPr>
        <w:t>十一、宗地竞买保证金、起始价、增价幅度及报价</w:t>
      </w:r>
    </w:p>
    <w:p w14:paraId="311E896A">
      <w:pPr>
        <w:spacing w:line="540" w:lineRule="exact"/>
        <w:ind w:firstLine="640" w:firstLineChars="200"/>
        <w:rPr>
          <w:rFonts w:ascii="仿宋" w:hAnsi="仿宋" w:eastAsia="仿宋"/>
          <w:sz w:val="32"/>
        </w:rPr>
      </w:pPr>
      <w:r>
        <w:rPr>
          <w:rFonts w:hint="eastAsia" w:eastAsia="仿宋_GB2312"/>
          <w:sz w:val="32"/>
          <w:lang w:val="en-US" w:eastAsia="zh-CN"/>
        </w:rPr>
        <w:t>（一）</w:t>
      </w:r>
      <w:r>
        <w:rPr>
          <w:rFonts w:hint="eastAsia" w:ascii="仿宋" w:hAnsi="仿宋" w:eastAsia="仿宋"/>
          <w:sz w:val="32"/>
        </w:rPr>
        <w:t>各宗地的竞买保证金分别为：</w:t>
      </w:r>
    </w:p>
    <w:p w14:paraId="56C55954">
      <w:pPr>
        <w:spacing w:line="540" w:lineRule="exact"/>
        <w:ind w:firstLine="640" w:firstLineChars="200"/>
        <w:rPr>
          <w:rFonts w:hint="eastAsia" w:ascii="仿宋" w:hAnsi="仿宋" w:eastAsia="仿宋"/>
          <w:sz w:val="32"/>
          <w:szCs w:val="44"/>
          <w:lang w:val="en-US" w:eastAsia="zh-CN"/>
        </w:rPr>
      </w:pPr>
      <w:r>
        <w:rPr>
          <w:rFonts w:hint="eastAsia" w:ascii="仿宋" w:hAnsi="仿宋" w:eastAsia="仿宋"/>
          <w:sz w:val="32"/>
          <w:szCs w:val="44"/>
          <w:lang w:val="en-US" w:eastAsia="zh-CN"/>
        </w:rPr>
        <w:t>G25019号地块为</w:t>
      </w:r>
      <w:r>
        <w:rPr>
          <w:rFonts w:hint="eastAsia" w:ascii="仿宋" w:hAnsi="仿宋" w:eastAsia="仿宋"/>
          <w:sz w:val="32"/>
          <w:szCs w:val="44"/>
        </w:rPr>
        <w:t>人民币大写</w:t>
      </w:r>
      <w:r>
        <w:rPr>
          <w:rFonts w:hint="eastAsia" w:ascii="仿宋" w:hAnsi="仿宋" w:eastAsia="仿宋"/>
          <w:sz w:val="32"/>
          <w:szCs w:val="44"/>
          <w:lang w:val="en-US" w:eastAsia="zh-CN"/>
        </w:rPr>
        <w:t>壹仟伍佰柒拾叁万元整（</w:t>
      </w:r>
      <w:r>
        <w:rPr>
          <w:rFonts w:hint="eastAsia" w:ascii="仿宋" w:hAnsi="仿宋" w:eastAsia="仿宋"/>
          <w:sz w:val="32"/>
          <w:szCs w:val="44"/>
        </w:rPr>
        <w:t>￥</w:t>
      </w:r>
      <w:r>
        <w:rPr>
          <w:rFonts w:hint="eastAsia" w:ascii="仿宋" w:hAnsi="仿宋" w:eastAsia="仿宋"/>
          <w:sz w:val="32"/>
          <w:szCs w:val="44"/>
          <w:lang w:eastAsia="zh-CN"/>
        </w:rPr>
        <w:t>：</w:t>
      </w:r>
      <w:r>
        <w:rPr>
          <w:rFonts w:hint="eastAsia" w:ascii="仿宋" w:hAnsi="仿宋" w:eastAsia="仿宋"/>
          <w:sz w:val="32"/>
          <w:szCs w:val="44"/>
          <w:lang w:val="en-US" w:eastAsia="zh-CN"/>
        </w:rPr>
        <w:t>1573</w:t>
      </w:r>
      <w:r>
        <w:rPr>
          <w:rFonts w:ascii="仿宋" w:hAnsi="仿宋" w:eastAsia="仿宋"/>
          <w:sz w:val="32"/>
          <w:szCs w:val="44"/>
        </w:rPr>
        <w:t>0000.00</w:t>
      </w:r>
      <w:r>
        <w:rPr>
          <w:rFonts w:hint="eastAsia" w:ascii="仿宋" w:hAnsi="仿宋" w:eastAsia="仿宋"/>
          <w:sz w:val="32"/>
          <w:szCs w:val="44"/>
          <w:lang w:val="en-US" w:eastAsia="zh-CN"/>
        </w:rPr>
        <w:t>）；</w:t>
      </w:r>
    </w:p>
    <w:p w14:paraId="2B0C7158">
      <w:pPr>
        <w:spacing w:line="540" w:lineRule="exact"/>
        <w:ind w:firstLine="640" w:firstLineChars="200"/>
        <w:rPr>
          <w:rFonts w:hint="eastAsia" w:ascii="仿宋" w:hAnsi="仿宋" w:eastAsia="仿宋"/>
          <w:sz w:val="32"/>
          <w:szCs w:val="44"/>
          <w:lang w:val="en-US" w:eastAsia="zh-CN"/>
        </w:rPr>
      </w:pPr>
      <w:r>
        <w:rPr>
          <w:rFonts w:hint="eastAsia" w:ascii="仿宋" w:hAnsi="仿宋" w:eastAsia="仿宋"/>
          <w:sz w:val="32"/>
          <w:szCs w:val="44"/>
          <w:lang w:val="en-US" w:eastAsia="zh-CN"/>
        </w:rPr>
        <w:t>G25020号地块为</w:t>
      </w:r>
      <w:r>
        <w:rPr>
          <w:rFonts w:hint="eastAsia" w:ascii="仿宋" w:hAnsi="仿宋" w:eastAsia="仿宋"/>
          <w:sz w:val="32"/>
          <w:szCs w:val="44"/>
        </w:rPr>
        <w:t>人民币大写</w:t>
      </w:r>
      <w:r>
        <w:rPr>
          <w:rFonts w:hint="eastAsia" w:ascii="仿宋" w:hAnsi="仿宋" w:eastAsia="仿宋"/>
          <w:sz w:val="32"/>
          <w:szCs w:val="44"/>
          <w:lang w:val="en-US" w:eastAsia="zh-CN"/>
        </w:rPr>
        <w:t>壹仟玖佰伍拾壹万元整（</w:t>
      </w:r>
      <w:r>
        <w:rPr>
          <w:rFonts w:hint="eastAsia" w:ascii="仿宋" w:hAnsi="仿宋" w:eastAsia="仿宋"/>
          <w:sz w:val="32"/>
          <w:szCs w:val="44"/>
        </w:rPr>
        <w:t>￥</w:t>
      </w:r>
      <w:r>
        <w:rPr>
          <w:rFonts w:hint="eastAsia" w:ascii="仿宋" w:hAnsi="仿宋" w:eastAsia="仿宋"/>
          <w:sz w:val="32"/>
          <w:szCs w:val="44"/>
          <w:lang w:eastAsia="zh-CN"/>
        </w:rPr>
        <w:t>：</w:t>
      </w:r>
      <w:r>
        <w:rPr>
          <w:rFonts w:hint="eastAsia" w:ascii="仿宋" w:hAnsi="仿宋" w:eastAsia="仿宋"/>
          <w:sz w:val="32"/>
          <w:szCs w:val="44"/>
          <w:lang w:val="en-US" w:eastAsia="zh-CN"/>
        </w:rPr>
        <w:t>1951</w:t>
      </w:r>
      <w:r>
        <w:rPr>
          <w:rFonts w:ascii="仿宋" w:hAnsi="仿宋" w:eastAsia="仿宋"/>
          <w:sz w:val="32"/>
          <w:szCs w:val="44"/>
        </w:rPr>
        <w:t>0000.00</w:t>
      </w:r>
      <w:r>
        <w:rPr>
          <w:rFonts w:hint="eastAsia" w:ascii="仿宋" w:hAnsi="仿宋" w:eastAsia="仿宋"/>
          <w:sz w:val="32"/>
          <w:szCs w:val="44"/>
          <w:lang w:val="en-US" w:eastAsia="zh-CN"/>
        </w:rPr>
        <w:t>）；</w:t>
      </w:r>
    </w:p>
    <w:p w14:paraId="39FB593C">
      <w:pPr>
        <w:spacing w:line="540" w:lineRule="exact"/>
        <w:ind w:firstLine="640" w:firstLineChars="200"/>
        <w:rPr>
          <w:rFonts w:hint="eastAsia" w:ascii="仿宋" w:hAnsi="仿宋" w:eastAsia="仿宋"/>
          <w:sz w:val="32"/>
          <w:szCs w:val="44"/>
          <w:lang w:val="en-US" w:eastAsia="zh-CN"/>
        </w:rPr>
      </w:pPr>
      <w:r>
        <w:rPr>
          <w:rFonts w:hint="eastAsia" w:ascii="仿宋" w:hAnsi="仿宋" w:eastAsia="仿宋"/>
          <w:sz w:val="32"/>
          <w:szCs w:val="44"/>
          <w:lang w:val="en-US" w:eastAsia="zh-CN"/>
        </w:rPr>
        <w:t>G25021号地块为</w:t>
      </w:r>
      <w:r>
        <w:rPr>
          <w:rFonts w:hint="eastAsia" w:ascii="仿宋" w:hAnsi="仿宋" w:eastAsia="仿宋"/>
          <w:sz w:val="32"/>
          <w:szCs w:val="44"/>
        </w:rPr>
        <w:t>人民币大写</w:t>
      </w:r>
      <w:r>
        <w:rPr>
          <w:rFonts w:hint="eastAsia" w:ascii="仿宋" w:hAnsi="仿宋" w:eastAsia="仿宋"/>
          <w:sz w:val="32"/>
          <w:szCs w:val="44"/>
          <w:lang w:val="en-US" w:eastAsia="zh-CN"/>
        </w:rPr>
        <w:t>陆佰壹拾贰万元整（</w:t>
      </w:r>
      <w:r>
        <w:rPr>
          <w:rFonts w:hint="eastAsia" w:ascii="仿宋" w:hAnsi="仿宋" w:eastAsia="仿宋"/>
          <w:sz w:val="32"/>
          <w:szCs w:val="44"/>
        </w:rPr>
        <w:t>￥</w:t>
      </w:r>
      <w:r>
        <w:rPr>
          <w:rFonts w:hint="eastAsia" w:ascii="仿宋" w:hAnsi="仿宋" w:eastAsia="仿宋"/>
          <w:sz w:val="32"/>
          <w:szCs w:val="44"/>
          <w:lang w:eastAsia="zh-CN"/>
        </w:rPr>
        <w:t>：</w:t>
      </w:r>
      <w:r>
        <w:rPr>
          <w:rFonts w:hint="eastAsia" w:ascii="仿宋" w:hAnsi="仿宋" w:eastAsia="仿宋"/>
          <w:sz w:val="32"/>
          <w:szCs w:val="44"/>
          <w:lang w:val="en-US" w:eastAsia="zh-CN"/>
        </w:rPr>
        <w:t>612</w:t>
      </w:r>
      <w:r>
        <w:rPr>
          <w:rFonts w:ascii="仿宋" w:hAnsi="仿宋" w:eastAsia="仿宋"/>
          <w:sz w:val="32"/>
          <w:szCs w:val="44"/>
        </w:rPr>
        <w:t>0000.00</w:t>
      </w:r>
      <w:r>
        <w:rPr>
          <w:rFonts w:hint="eastAsia" w:ascii="仿宋" w:hAnsi="仿宋" w:eastAsia="仿宋"/>
          <w:sz w:val="32"/>
          <w:szCs w:val="44"/>
          <w:lang w:val="en-US" w:eastAsia="zh-CN"/>
        </w:rPr>
        <w:t>）。</w:t>
      </w:r>
    </w:p>
    <w:p w14:paraId="22E458E6">
      <w:pPr>
        <w:spacing w:line="540" w:lineRule="exact"/>
        <w:ind w:firstLine="640" w:firstLineChars="200"/>
        <w:rPr>
          <w:rFonts w:ascii="仿宋" w:hAnsi="仿宋" w:eastAsia="仿宋"/>
          <w:sz w:val="32"/>
        </w:rPr>
      </w:pPr>
      <w:r>
        <w:rPr>
          <w:rFonts w:hint="eastAsia" w:eastAsia="仿宋_GB2312"/>
          <w:sz w:val="32"/>
          <w:lang w:val="en-US" w:eastAsia="zh-CN"/>
        </w:rPr>
        <w:t>（二）</w:t>
      </w:r>
      <w:r>
        <w:rPr>
          <w:rFonts w:hint="eastAsia" w:ascii="仿宋" w:hAnsi="仿宋" w:eastAsia="仿宋"/>
          <w:sz w:val="32"/>
        </w:rPr>
        <w:t>各宗地的出让起始价、增价幅度</w:t>
      </w:r>
      <w:r>
        <w:rPr>
          <w:rFonts w:ascii="仿宋" w:hAnsi="仿宋" w:eastAsia="仿宋"/>
          <w:sz w:val="32"/>
        </w:rPr>
        <w:t xml:space="preserve"> </w:t>
      </w:r>
    </w:p>
    <w:p w14:paraId="17C05558">
      <w:pPr>
        <w:spacing w:line="540" w:lineRule="exact"/>
        <w:ind w:firstLine="640" w:firstLineChars="200"/>
        <w:rPr>
          <w:rFonts w:hint="eastAsia" w:ascii="仿宋" w:hAnsi="仿宋" w:eastAsia="仿宋"/>
          <w:sz w:val="32"/>
        </w:rPr>
      </w:pPr>
      <w:r>
        <w:rPr>
          <w:rFonts w:hint="eastAsia" w:ascii="仿宋" w:hAnsi="仿宋" w:eastAsia="仿宋"/>
          <w:sz w:val="32"/>
          <w:szCs w:val="44"/>
          <w:lang w:val="en-US" w:eastAsia="zh-CN"/>
        </w:rPr>
        <w:t>G25019</w:t>
      </w:r>
      <w:r>
        <w:rPr>
          <w:rFonts w:hint="eastAsia" w:ascii="仿宋" w:hAnsi="仿宋" w:eastAsia="仿宋"/>
          <w:sz w:val="32"/>
        </w:rPr>
        <w:t>号地块：出让起始价为人民币大写</w:t>
      </w:r>
      <w:r>
        <w:rPr>
          <w:rFonts w:hint="eastAsia" w:ascii="仿宋" w:hAnsi="仿宋" w:eastAsia="仿宋"/>
          <w:sz w:val="32"/>
          <w:lang w:val="en-US" w:eastAsia="zh-CN"/>
        </w:rPr>
        <w:t>柒仟捌佰陆拾伍</w:t>
      </w:r>
      <w:r>
        <w:rPr>
          <w:rFonts w:hint="eastAsia" w:ascii="仿宋" w:hAnsi="仿宋" w:eastAsia="仿宋"/>
          <w:sz w:val="32"/>
        </w:rPr>
        <w:t>万元整（￥</w:t>
      </w:r>
      <w:r>
        <w:rPr>
          <w:rFonts w:hint="eastAsia" w:ascii="仿宋" w:hAnsi="仿宋" w:eastAsia="仿宋"/>
          <w:sz w:val="32"/>
          <w:lang w:val="en-US" w:eastAsia="zh-CN"/>
        </w:rPr>
        <w:t>78650</w:t>
      </w:r>
      <w:r>
        <w:rPr>
          <w:rFonts w:ascii="仿宋" w:hAnsi="仿宋" w:eastAsia="仿宋"/>
          <w:sz w:val="32"/>
        </w:rPr>
        <w:t>000.00</w:t>
      </w:r>
      <w:r>
        <w:rPr>
          <w:rFonts w:hint="eastAsia" w:ascii="仿宋" w:hAnsi="仿宋" w:eastAsia="仿宋"/>
          <w:sz w:val="32"/>
        </w:rPr>
        <w:t>），增价幅度为人民币大写壹拾万元或壹拾万元的整倍数；</w:t>
      </w:r>
    </w:p>
    <w:p w14:paraId="68882A5D">
      <w:pPr>
        <w:spacing w:line="540" w:lineRule="exact"/>
        <w:ind w:firstLine="640" w:firstLineChars="200"/>
        <w:rPr>
          <w:rFonts w:hint="eastAsia" w:ascii="仿宋" w:hAnsi="仿宋" w:eastAsia="仿宋"/>
          <w:sz w:val="32"/>
        </w:rPr>
      </w:pPr>
      <w:r>
        <w:rPr>
          <w:rFonts w:hint="eastAsia" w:ascii="仿宋" w:hAnsi="仿宋" w:eastAsia="仿宋"/>
          <w:sz w:val="32"/>
          <w:szCs w:val="44"/>
          <w:lang w:val="en-US" w:eastAsia="zh-CN"/>
        </w:rPr>
        <w:t>G25020</w:t>
      </w:r>
      <w:r>
        <w:rPr>
          <w:rFonts w:hint="eastAsia" w:ascii="仿宋" w:hAnsi="仿宋" w:eastAsia="仿宋"/>
          <w:sz w:val="32"/>
        </w:rPr>
        <w:t>号地块：出让起始价为人民币大写</w:t>
      </w:r>
      <w:r>
        <w:rPr>
          <w:rFonts w:hint="eastAsia" w:ascii="仿宋" w:hAnsi="仿宋" w:eastAsia="仿宋"/>
          <w:sz w:val="32"/>
          <w:lang w:val="en-US" w:eastAsia="zh-CN"/>
        </w:rPr>
        <w:t>玖仟柒佰伍拾伍</w:t>
      </w:r>
      <w:r>
        <w:rPr>
          <w:rFonts w:hint="eastAsia" w:ascii="仿宋" w:hAnsi="仿宋" w:eastAsia="仿宋"/>
          <w:sz w:val="32"/>
        </w:rPr>
        <w:t>万元整（￥</w:t>
      </w:r>
      <w:r>
        <w:rPr>
          <w:rFonts w:hint="eastAsia" w:ascii="仿宋" w:hAnsi="仿宋" w:eastAsia="仿宋"/>
          <w:sz w:val="32"/>
          <w:lang w:val="en-US" w:eastAsia="zh-CN"/>
        </w:rPr>
        <w:t>97550</w:t>
      </w:r>
      <w:r>
        <w:rPr>
          <w:rFonts w:ascii="仿宋" w:hAnsi="仿宋" w:eastAsia="仿宋"/>
          <w:sz w:val="32"/>
        </w:rPr>
        <w:t>000.00</w:t>
      </w:r>
      <w:r>
        <w:rPr>
          <w:rFonts w:hint="eastAsia" w:ascii="仿宋" w:hAnsi="仿宋" w:eastAsia="仿宋"/>
          <w:sz w:val="32"/>
        </w:rPr>
        <w:t>），增价幅度为人民币大写壹拾万元或壹拾万元的整倍数；</w:t>
      </w:r>
    </w:p>
    <w:p w14:paraId="72092859">
      <w:pPr>
        <w:spacing w:line="540" w:lineRule="exact"/>
        <w:ind w:firstLine="640" w:firstLineChars="200"/>
        <w:rPr>
          <w:rFonts w:hint="eastAsia" w:ascii="仿宋" w:hAnsi="仿宋" w:eastAsia="仿宋"/>
          <w:sz w:val="32"/>
        </w:rPr>
      </w:pPr>
      <w:r>
        <w:rPr>
          <w:rFonts w:hint="eastAsia" w:ascii="仿宋" w:hAnsi="仿宋" w:eastAsia="仿宋"/>
          <w:sz w:val="32"/>
          <w:szCs w:val="44"/>
          <w:lang w:val="en-US" w:eastAsia="zh-CN"/>
        </w:rPr>
        <w:t>G25021</w:t>
      </w:r>
      <w:r>
        <w:rPr>
          <w:rFonts w:hint="eastAsia" w:ascii="仿宋" w:hAnsi="仿宋" w:eastAsia="仿宋"/>
          <w:sz w:val="32"/>
        </w:rPr>
        <w:t>号地块：出让起始价为人民币大写</w:t>
      </w:r>
      <w:r>
        <w:rPr>
          <w:rFonts w:hint="eastAsia" w:ascii="仿宋" w:hAnsi="仿宋" w:eastAsia="仿宋"/>
          <w:sz w:val="32"/>
          <w:lang w:val="en-US" w:eastAsia="zh-CN"/>
        </w:rPr>
        <w:t>叁仟零陆拾</w:t>
      </w:r>
      <w:r>
        <w:rPr>
          <w:rFonts w:hint="eastAsia" w:ascii="仿宋" w:hAnsi="仿宋" w:eastAsia="仿宋"/>
          <w:sz w:val="32"/>
        </w:rPr>
        <w:t>万元整（￥</w:t>
      </w:r>
      <w:r>
        <w:rPr>
          <w:rFonts w:hint="eastAsia" w:ascii="仿宋" w:hAnsi="仿宋" w:eastAsia="仿宋"/>
          <w:sz w:val="32"/>
          <w:lang w:val="en-US" w:eastAsia="zh-CN"/>
        </w:rPr>
        <w:t>30600</w:t>
      </w:r>
      <w:r>
        <w:rPr>
          <w:rFonts w:ascii="仿宋" w:hAnsi="仿宋" w:eastAsia="仿宋"/>
          <w:sz w:val="32"/>
        </w:rPr>
        <w:t>000.00</w:t>
      </w:r>
      <w:r>
        <w:rPr>
          <w:rFonts w:hint="eastAsia" w:ascii="仿宋" w:hAnsi="仿宋" w:eastAsia="仿宋"/>
          <w:sz w:val="32"/>
        </w:rPr>
        <w:t>），增价幅度为人民币大写壹拾万元或壹拾万元的整倍数</w:t>
      </w:r>
      <w:r>
        <w:rPr>
          <w:rFonts w:hint="eastAsia" w:ascii="仿宋" w:hAnsi="仿宋" w:eastAsia="仿宋"/>
          <w:sz w:val="32"/>
          <w:lang w:eastAsia="zh-CN"/>
        </w:rPr>
        <w:t>。</w:t>
      </w:r>
    </w:p>
    <w:p w14:paraId="5FEFEA64">
      <w:pPr>
        <w:spacing w:line="540" w:lineRule="exact"/>
        <w:ind w:firstLine="640" w:firstLineChars="200"/>
        <w:rPr>
          <w:rFonts w:hint="eastAsia" w:eastAsia="仿宋_GB2312"/>
          <w:sz w:val="32"/>
          <w:lang w:val="zh-CN" w:eastAsia="zh-CN"/>
        </w:rPr>
      </w:pPr>
      <w:r>
        <w:rPr>
          <w:rFonts w:hint="eastAsia" w:eastAsia="仿宋_GB2312"/>
          <w:sz w:val="32"/>
          <w:lang w:val="en-US" w:eastAsia="zh-CN"/>
        </w:rPr>
        <w:t>（三）</w:t>
      </w:r>
      <w:r>
        <w:rPr>
          <w:rFonts w:hint="eastAsia" w:eastAsia="仿宋_GB2312"/>
          <w:sz w:val="32"/>
          <w:lang w:val="zh-CN" w:eastAsia="zh-CN"/>
        </w:rPr>
        <w:t>在报价期间，竞买人可多次报价。</w:t>
      </w:r>
    </w:p>
    <w:p w14:paraId="4028826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（四）竞买人通过系统提交的报价一经报出，不得撤回。</w:t>
      </w:r>
    </w:p>
    <w:p w14:paraId="6ADD52E6">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（五）竞买人报价有下列情形之一的，为无效报价：</w:t>
      </w:r>
    </w:p>
    <w:p w14:paraId="209155E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1、报价因竞买人网络故障未在挂牌报价期限内报价的；</w:t>
      </w:r>
    </w:p>
    <w:p w14:paraId="53FBB843">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2、报价不符合报价规则的；</w:t>
      </w:r>
    </w:p>
    <w:p w14:paraId="4448F8BD">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3、报价与竞买文件不符的；</w:t>
      </w:r>
    </w:p>
    <w:p w14:paraId="3673D349">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zh-CN" w:eastAsia="zh-CN"/>
        </w:rPr>
      </w:pPr>
      <w:r>
        <w:rPr>
          <w:rFonts w:hint="eastAsia" w:eastAsia="仿宋_GB2312"/>
          <w:sz w:val="32"/>
          <w:lang w:val="zh-CN" w:eastAsia="zh-CN"/>
        </w:rPr>
        <w:t>4、报价不符合挂牌文件规定的其他情形的。</w:t>
      </w:r>
    </w:p>
    <w:p w14:paraId="062B291E">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十二、注意事项</w:t>
      </w:r>
    </w:p>
    <w:p w14:paraId="5A63CA10">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挂牌期满，网上挂牌出让成交确认系统根据下列条件自动确定竞得人：</w:t>
      </w:r>
    </w:p>
    <w:p w14:paraId="44CAA4ED">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（一）在挂牌期限内，只有一个竞买人报价，且报价等于或高于底价，挂牌成交；</w:t>
      </w:r>
    </w:p>
    <w:p w14:paraId="14058F8B">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（二）在挂牌期限内，有两个或者两个以上竞买人报价的，报价等于或高于底价，且出价最高者为竞得人；</w:t>
      </w:r>
    </w:p>
    <w:p w14:paraId="4DCC6A88">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（三）在挂牌期限内，无应价者或竞买人的报价均低于底价的，挂牌不成交；</w:t>
      </w:r>
    </w:p>
    <w:p w14:paraId="015010C3">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（四）</w:t>
      </w:r>
      <w:r>
        <w:rPr>
          <w:rFonts w:hint="eastAsia" w:eastAsia="仿宋_GB2312"/>
          <w:sz w:val="32"/>
          <w:lang w:val="en-US" w:eastAsia="zh-CN"/>
        </w:rPr>
        <w:t>在挂牌期限截止前10分钟，竞买人必须在挂牌报价期间最少有一次报价，才能进入最后的限时报价；</w:t>
      </w:r>
    </w:p>
    <w:p w14:paraId="6A83522D">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五</w:t>
      </w:r>
      <w:r>
        <w:rPr>
          <w:rFonts w:hint="eastAsia" w:eastAsia="仿宋_GB2312"/>
          <w:sz w:val="32"/>
          <w:lang w:val="zh-CN" w:eastAsia="zh-CN"/>
        </w:rPr>
        <w:t>）</w:t>
      </w:r>
      <w:r>
        <w:rPr>
          <w:rFonts w:hint="eastAsia" w:eastAsia="仿宋_GB2312"/>
          <w:sz w:val="32"/>
          <w:lang w:val="en-US" w:eastAsia="zh-CN"/>
        </w:rPr>
        <w:t>在挂牌期限截止时前10分钟内仍有竞买人报价的，将对挂牌宗地进行网上限时竞价，报价最高且报价等于或高于底价者为竞得人。</w:t>
      </w:r>
    </w:p>
    <w:p w14:paraId="7B5D9D9A">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六</w:t>
      </w:r>
      <w:r>
        <w:rPr>
          <w:rFonts w:hint="eastAsia" w:eastAsia="仿宋_GB2312"/>
          <w:sz w:val="32"/>
          <w:lang w:val="zh-CN" w:eastAsia="zh-CN"/>
        </w:rPr>
        <w:t>）</w:t>
      </w:r>
      <w:r>
        <w:rPr>
          <w:rFonts w:hint="eastAsia" w:eastAsia="仿宋_GB2312"/>
          <w:sz w:val="32"/>
          <w:lang w:val="en-US" w:eastAsia="zh-CN"/>
        </w:rPr>
        <w:t>本次交易活动限制存在失信记录的竞买申请人参与本次网上挂牌出让活动。竞买申请人提交申请前应当自行通过“信用中国”网站（http://www.creditchina.gov.cn）或各级信用共享平台查询是否有失信记录，并须做到在参加网上挂牌竞买活动期间无失信记录。竞得人在签订《成交确认书》前，大冶市公共资源交易中心通过“信用中国”网站查询竞得人是否存在失信记录并截图取证，竞得人存在失信记录的取消其竞得资格，交易结果无效，交纳的竞买保证金不予退还。</w:t>
      </w:r>
    </w:p>
    <w:p w14:paraId="6A9A284D">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七）申请人竞得土地后，拟成立新公司进行开发建设的，应在申请书中明确新公司的出资构成、成立时间等内容。大冶市自然资源和规划局可以根据挂牌出让结果与竞得人签订《国有建设用地使用权出让合同》，在竞得人按约定办理完新公司注册登记手续后，再与新公司签订《国有建设用地使用权出让合同变更协议》，或者直接与新公司签订《国有建设用地使用权出让合同》。</w:t>
      </w:r>
    </w:p>
    <w:p w14:paraId="5B81C6AA">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非房地产开发企业或自然人申请竞得土地后，拟与有资质房地产开发公司签订联合开发合同，依照有关法律、行政法规的规定，作价入股，合资、合作开发经营房地产的，应在申请书中明确联合开发企业的名称、合作时间、方式等内容。大冶市自然资源和规划局可以根据挂牌出让结果与竞得人签订《国有建设用地使用权出让合同》，在竞得人按约定落实联合开发事项后，再与合作企业签订《国有建设用地使用权出让合同变更协议》，或者直接与合作企业签订《国有建设用地使用权出让合同》。</w:t>
      </w:r>
    </w:p>
    <w:p w14:paraId="606CDDAD">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（八）本次公开出让地块均设有出让底价，在公开出让活动结束前须严格保密。</w:t>
      </w:r>
    </w:p>
    <w:p w14:paraId="0B7A2DC4">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九）网上挂牌出让结果公布后，竞得人应当在3个工作日内持有关资料原件与大冶市自然资源和规划局签订《成交确认书》，委托人代签的，应提交法定代表人亲笔签名并盖章的授权委托书。《成交确认书》对出让人和竞得人具有法律效力，出让人改变公开出让结果的，或者竞得人放弃竞得宗地的，应当承担法律效力。</w:t>
      </w:r>
    </w:p>
    <w:p w14:paraId="05F9FA53">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（十）竞得人的竞买保证金转作受让地块的定金；未竞得人的竞买保证金将于网上挂牌活动结束后5个工作日内不计利息全额退还。</w:t>
      </w:r>
    </w:p>
    <w:p w14:paraId="5C27D82D">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w:t>
      </w:r>
      <w:r>
        <w:rPr>
          <w:rFonts w:hint="eastAsia" w:eastAsia="仿宋_GB2312"/>
          <w:sz w:val="32"/>
          <w:lang w:val="en-US" w:eastAsia="zh-CN"/>
        </w:rPr>
        <w:t>十一</w:t>
      </w:r>
      <w:r>
        <w:rPr>
          <w:rFonts w:hint="eastAsia" w:eastAsia="仿宋_GB2312"/>
          <w:sz w:val="32"/>
          <w:lang w:val="zh-CN" w:eastAsia="zh-CN"/>
        </w:rPr>
        <w:t>）有下列情形之一的，大冶市公共资源交易中心将中（终）止挂牌活动：</w:t>
      </w:r>
    </w:p>
    <w:p w14:paraId="2F999514">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1、因系统遭受破坏或发生电力、网络故障等不可抗力以及网络恶意入侵等非挂牌人因素，导致系统不能正常运行的；</w:t>
      </w:r>
    </w:p>
    <w:p w14:paraId="3CF7D26D">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2、竞买人串通损害国家利益、社会利益或他人合法权益的；</w:t>
      </w:r>
    </w:p>
    <w:p w14:paraId="024F632E">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3、出让工作人员私下接触竞买人，足以影响公开出让公正性的；</w:t>
      </w:r>
    </w:p>
    <w:p w14:paraId="698411D3">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4、应当依法中（终）止公开出让活动的其他情形。</w:t>
      </w:r>
    </w:p>
    <w:p w14:paraId="4AFC24AF">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w:t>
      </w:r>
      <w:r>
        <w:rPr>
          <w:rFonts w:hint="eastAsia" w:eastAsia="仿宋_GB2312"/>
          <w:sz w:val="32"/>
          <w:lang w:val="en-US" w:eastAsia="zh-CN"/>
        </w:rPr>
        <w:t>十二</w:t>
      </w:r>
      <w:r>
        <w:rPr>
          <w:rFonts w:hint="eastAsia" w:eastAsia="仿宋_GB2312"/>
          <w:sz w:val="32"/>
          <w:lang w:val="zh-CN" w:eastAsia="zh-CN"/>
        </w:rPr>
        <w:t>）竞得人有下列行为的视为违约，视为违约，出让人可取消其竞得人资格，竞买保证金不予退还：</w:t>
      </w:r>
    </w:p>
    <w:p w14:paraId="4B151876">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1、竞得人逾期或拒绝签订《成交确认书》的；</w:t>
      </w:r>
    </w:p>
    <w:p w14:paraId="2D038275">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2、竞得人逾期或拒绝签订《国有建设用地使用权出让合同》的；</w:t>
      </w:r>
    </w:p>
    <w:p w14:paraId="759FE45D">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zh-CN" w:eastAsia="zh-CN"/>
        </w:rPr>
        <w:t>（</w:t>
      </w:r>
      <w:r>
        <w:rPr>
          <w:rFonts w:hint="eastAsia" w:eastAsia="仿宋_GB2312"/>
          <w:sz w:val="32"/>
          <w:lang w:val="en-US" w:eastAsia="zh-CN"/>
        </w:rPr>
        <w:t>十三</w:t>
      </w:r>
      <w:r>
        <w:rPr>
          <w:rFonts w:hint="eastAsia" w:eastAsia="仿宋_GB2312"/>
          <w:sz w:val="32"/>
          <w:lang w:val="zh-CN" w:eastAsia="zh-CN"/>
        </w:rPr>
        <w:t>）竞得人有下列行为之一的，竞得结果无效，造成损失的，应当依法承担赔偿责任：</w:t>
      </w:r>
    </w:p>
    <w:p w14:paraId="3D7F77D3">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1、采取行贿、恶意串通等非法手段竞得的；</w:t>
      </w:r>
    </w:p>
    <w:p w14:paraId="6D5A3070">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2、提供的注册信息不真实、不准确、不完整等原因造成宗地出让无法成交的；</w:t>
      </w:r>
    </w:p>
    <w:p w14:paraId="4A7DE079">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3、不按网上注册时登记的内容提供有关文件材料，或提供虚假文件材料、隐瞒事实，引起出让纠纷的；</w:t>
      </w:r>
    </w:p>
    <w:p w14:paraId="08BF7306">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4、构成违约责任的其他行为。</w:t>
      </w:r>
    </w:p>
    <w:p w14:paraId="4C23040A">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en-US" w:eastAsia="zh-CN"/>
        </w:rPr>
        <w:t>（十四）上述宗地出让成交价为宗地的总地价款。</w:t>
      </w:r>
    </w:p>
    <w:p w14:paraId="47A0B4BA">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en-US" w:eastAsia="zh-CN"/>
        </w:rPr>
        <w:t>（十</w:t>
      </w:r>
      <w:r>
        <w:rPr>
          <w:rFonts w:hint="eastAsia" w:eastAsia="仿宋_GB2312"/>
          <w:sz w:val="32"/>
          <w:lang w:val="zh-CN" w:eastAsia="zh-CN"/>
        </w:rPr>
        <w:t>五</w:t>
      </w:r>
      <w:r>
        <w:rPr>
          <w:rFonts w:hint="eastAsia" w:eastAsia="仿宋_GB2312"/>
          <w:sz w:val="32"/>
          <w:lang w:val="en-US" w:eastAsia="zh-CN"/>
        </w:rPr>
        <w:t>）竞得人与出让人签订</w:t>
      </w:r>
      <w:r>
        <w:rPr>
          <w:rFonts w:hint="eastAsia" w:eastAsia="仿宋_GB2312"/>
          <w:sz w:val="32"/>
          <w:lang w:val="zh-CN" w:eastAsia="zh-CN"/>
        </w:rPr>
        <w:t>《国有建设用地使用权出让合同》后，应当按出让合同约定支付出让成交价款，竞得人不能按时支付国有建设用地使用权出让价款的，自滞纳之日起，每日按迟延支付款项的1‰向出让人缴纳违约金。竞得人付清全部出让成交价款后，依法申请办理土地登记。</w:t>
      </w:r>
    </w:p>
    <w:p w14:paraId="577E75D1">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（十六）公开出让不成交的，应当按规定由大冶市公共资源交易中心重新组织出让。</w:t>
      </w:r>
    </w:p>
    <w:p w14:paraId="3B257A8A">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zh-CN" w:eastAsia="zh-CN"/>
        </w:rPr>
      </w:pPr>
      <w:r>
        <w:rPr>
          <w:rFonts w:hint="eastAsia" w:eastAsia="仿宋_GB2312"/>
          <w:sz w:val="32"/>
          <w:lang w:val="zh-CN" w:eastAsia="zh-CN"/>
        </w:rPr>
        <w:t>（十七）参加公开出让活动的人员，应遵守现场的纪律，服从管理人员的管理。</w:t>
      </w:r>
    </w:p>
    <w:p w14:paraId="76B838BD">
      <w:pPr>
        <w:keepNext w:val="0"/>
        <w:keepLines w:val="0"/>
        <w:pageBreakBefore w:val="0"/>
        <w:widowControl w:val="0"/>
        <w:kinsoku/>
        <w:wordWrap/>
        <w:overflowPunct/>
        <w:topLinePunct w:val="0"/>
        <w:autoSpaceDE/>
        <w:autoSpaceDN/>
        <w:bidi w:val="0"/>
        <w:adjustRightInd/>
        <w:snapToGrid/>
        <w:spacing w:line="440" w:lineRule="exact"/>
        <w:ind w:firstLine="640" w:firstLineChars="200"/>
        <w:textAlignment w:val="auto"/>
        <w:rPr>
          <w:rFonts w:hint="eastAsia" w:eastAsia="仿宋_GB2312"/>
          <w:sz w:val="32"/>
          <w:lang w:val="en-US" w:eastAsia="zh-CN"/>
        </w:rPr>
      </w:pPr>
      <w:r>
        <w:rPr>
          <w:rFonts w:hint="eastAsia" w:eastAsia="仿宋_GB2312"/>
          <w:sz w:val="32"/>
          <w:lang w:val="zh-CN" w:eastAsia="zh-CN"/>
        </w:rPr>
        <w:t>（十</w:t>
      </w:r>
      <w:r>
        <w:rPr>
          <w:rFonts w:hint="eastAsia" w:eastAsia="仿宋_GB2312"/>
          <w:sz w:val="32"/>
          <w:lang w:val="en-US" w:eastAsia="zh-CN"/>
        </w:rPr>
        <w:t>八</w:t>
      </w:r>
      <w:r>
        <w:rPr>
          <w:rFonts w:hint="eastAsia" w:eastAsia="仿宋_GB2312"/>
          <w:sz w:val="32"/>
          <w:lang w:val="zh-CN" w:eastAsia="zh-CN"/>
        </w:rPr>
        <w:t>）大冶市自然资源和规划局和大冶市公共资源交易中心对本《出让须知》有解释权。未尽事宜依照《招标拍卖挂牌出让国有土地使用权规范》办理。</w:t>
      </w:r>
    </w:p>
    <w:p w14:paraId="24F14D7A">
      <w:pPr>
        <w:keepNext w:val="0"/>
        <w:keepLines w:val="0"/>
        <w:pageBreakBefore w:val="0"/>
        <w:widowControl w:val="0"/>
        <w:kinsoku/>
        <w:wordWrap/>
        <w:overflowPunct/>
        <w:topLinePunct w:val="0"/>
        <w:autoSpaceDE/>
        <w:autoSpaceDN/>
        <w:bidi w:val="0"/>
        <w:adjustRightInd/>
        <w:snapToGrid/>
        <w:spacing w:line="440" w:lineRule="exact"/>
        <w:ind w:firstLine="3200" w:firstLineChars="1000"/>
        <w:textAlignment w:val="auto"/>
        <w:rPr>
          <w:rFonts w:hint="eastAsia" w:eastAsia="仿宋_GB2312"/>
          <w:sz w:val="32"/>
          <w:lang w:val="en-US" w:eastAsia="zh-CN"/>
        </w:rPr>
      </w:pPr>
      <w:r>
        <w:rPr>
          <w:rFonts w:hint="eastAsia" w:eastAsia="仿宋_GB2312"/>
          <w:sz w:val="32"/>
          <w:lang w:val="en-US" w:eastAsia="zh-CN"/>
        </w:rPr>
        <w:t>出让人: 大冶市自然资源和规划局</w:t>
      </w:r>
    </w:p>
    <w:p w14:paraId="1F43B588">
      <w:pPr>
        <w:keepNext w:val="0"/>
        <w:keepLines w:val="0"/>
        <w:pageBreakBefore w:val="0"/>
        <w:widowControl w:val="0"/>
        <w:kinsoku/>
        <w:wordWrap/>
        <w:overflowPunct/>
        <w:topLinePunct w:val="0"/>
        <w:autoSpaceDE/>
        <w:autoSpaceDN/>
        <w:bidi w:val="0"/>
        <w:adjustRightInd/>
        <w:snapToGrid/>
        <w:spacing w:line="440" w:lineRule="exact"/>
        <w:ind w:firstLine="3200" w:firstLineChars="1000"/>
        <w:textAlignment w:val="auto"/>
        <w:rPr>
          <w:rFonts w:hint="eastAsia" w:eastAsia="仿宋_GB2312"/>
          <w:sz w:val="32"/>
          <w:lang w:val="en-US" w:eastAsia="zh-CN"/>
        </w:rPr>
      </w:pPr>
      <w:r>
        <w:rPr>
          <w:rFonts w:hint="eastAsia" w:eastAsia="仿宋_GB2312"/>
          <w:sz w:val="32"/>
          <w:lang w:val="en-US" w:eastAsia="zh-CN"/>
        </w:rPr>
        <w:t>挂牌人：大冶市公共资源交易中心</w:t>
      </w:r>
    </w:p>
    <w:p w14:paraId="5CBAF781">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eastAsia="仿宋_GB2312"/>
          <w:sz w:val="32"/>
          <w:lang w:val="en-US" w:eastAsia="zh-CN"/>
        </w:rPr>
      </w:pPr>
      <w:r>
        <w:rPr>
          <w:rFonts w:hint="eastAsia" w:eastAsia="仿宋_GB2312"/>
          <w:sz w:val="32"/>
          <w:lang w:val="en-US" w:eastAsia="zh-CN"/>
        </w:rPr>
        <w:t xml:space="preserve">                          2025年5月27日</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8BB4B">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992712992"/>
                          </w:sdtPr>
                          <w:sdtContent>
                            <w:p w14:paraId="14E41ADE">
                              <w:pPr>
                                <w:pStyle w:val="5"/>
                                <w:jc w:val="center"/>
                              </w:pPr>
                              <w:r>
                                <w:fldChar w:fldCharType="begin"/>
                              </w:r>
                              <w:r>
                                <w:instrText xml:space="preserve">PAGE   \* MERGEFORMAT</w:instrText>
                              </w:r>
                              <w:r>
                                <w:fldChar w:fldCharType="separate"/>
                              </w:r>
                              <w:r>
                                <w:rPr>
                                  <w:lang w:val="zh-CN"/>
                                </w:rPr>
                                <w:t>1</w:t>
                              </w:r>
                              <w:r>
                                <w:fldChar w:fldCharType="end"/>
                              </w:r>
                            </w:p>
                          </w:sdtContent>
                        </w:sdt>
                        <w:p w14:paraId="718BB3D8"/>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sdt>
                    <w:sdtPr>
                      <w:id w:val="-992712992"/>
                    </w:sdtPr>
                    <w:sdtContent>
                      <w:p w14:paraId="14E41ADE">
                        <w:pPr>
                          <w:pStyle w:val="5"/>
                          <w:jc w:val="center"/>
                        </w:pPr>
                        <w:r>
                          <w:fldChar w:fldCharType="begin"/>
                        </w:r>
                        <w:r>
                          <w:instrText xml:space="preserve">PAGE   \* MERGEFORMAT</w:instrText>
                        </w:r>
                        <w:r>
                          <w:fldChar w:fldCharType="separate"/>
                        </w:r>
                        <w:r>
                          <w:rPr>
                            <w:lang w:val="zh-CN"/>
                          </w:rPr>
                          <w:t>1</w:t>
                        </w:r>
                        <w:r>
                          <w:fldChar w:fldCharType="end"/>
                        </w:r>
                      </w:p>
                    </w:sdtContent>
                  </w:sdt>
                  <w:p w14:paraId="718BB3D8"/>
                </w:txbxContent>
              </v:textbox>
            </v:shape>
          </w:pict>
        </mc:Fallback>
      </mc:AlternateContent>
    </w:r>
  </w:p>
  <w:p w14:paraId="7CDCA91D">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2411A">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63E1BE"/>
    <w:multiLevelType w:val="singleLevel"/>
    <w:tmpl w:val="1F63E1BE"/>
    <w:lvl w:ilvl="0" w:tentative="0">
      <w:start w:val="3"/>
      <w:numFmt w:val="chineseCounting"/>
      <w:suff w:val="nothing"/>
      <w:lvlText w:val="%1、"/>
      <w:lvlJc w:val="left"/>
      <w:rPr>
        <w:rFonts w:hint="eastAsia"/>
      </w:rPr>
    </w:lvl>
  </w:abstractNum>
  <w:abstractNum w:abstractNumId="1">
    <w:nsid w:val="682E92DE"/>
    <w:multiLevelType w:val="singleLevel"/>
    <w:tmpl w:val="682E92DE"/>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zIwOTA2MDQyYmUyOGZkNDJhMzNiZDQ2ODljMTMifQ=="/>
  </w:docVars>
  <w:rsids>
    <w:rsidRoot w:val="00485EA7"/>
    <w:rsid w:val="00017D57"/>
    <w:rsid w:val="0004655D"/>
    <w:rsid w:val="00063C93"/>
    <w:rsid w:val="000B0193"/>
    <w:rsid w:val="000B369F"/>
    <w:rsid w:val="0013704A"/>
    <w:rsid w:val="00161710"/>
    <w:rsid w:val="00191FA6"/>
    <w:rsid w:val="001F0BC6"/>
    <w:rsid w:val="002169D1"/>
    <w:rsid w:val="00256845"/>
    <w:rsid w:val="00274595"/>
    <w:rsid w:val="00384597"/>
    <w:rsid w:val="003C2082"/>
    <w:rsid w:val="003D407D"/>
    <w:rsid w:val="004668F7"/>
    <w:rsid w:val="004707F7"/>
    <w:rsid w:val="00485EA7"/>
    <w:rsid w:val="004A7191"/>
    <w:rsid w:val="004F5862"/>
    <w:rsid w:val="00526F71"/>
    <w:rsid w:val="00537E93"/>
    <w:rsid w:val="00581546"/>
    <w:rsid w:val="0059520E"/>
    <w:rsid w:val="005E08BE"/>
    <w:rsid w:val="00651652"/>
    <w:rsid w:val="006903AF"/>
    <w:rsid w:val="006A1119"/>
    <w:rsid w:val="006E3433"/>
    <w:rsid w:val="00750654"/>
    <w:rsid w:val="00772468"/>
    <w:rsid w:val="007978A7"/>
    <w:rsid w:val="007A23C5"/>
    <w:rsid w:val="007A68C0"/>
    <w:rsid w:val="007F6B22"/>
    <w:rsid w:val="0086539F"/>
    <w:rsid w:val="008832BA"/>
    <w:rsid w:val="008F4E15"/>
    <w:rsid w:val="008F5690"/>
    <w:rsid w:val="00935A74"/>
    <w:rsid w:val="00954E25"/>
    <w:rsid w:val="009B3888"/>
    <w:rsid w:val="009B6922"/>
    <w:rsid w:val="00A07983"/>
    <w:rsid w:val="00A262DF"/>
    <w:rsid w:val="00A41AA2"/>
    <w:rsid w:val="00A61DA6"/>
    <w:rsid w:val="00A76A57"/>
    <w:rsid w:val="00A81E04"/>
    <w:rsid w:val="00AC2AE1"/>
    <w:rsid w:val="00AE3E74"/>
    <w:rsid w:val="00AE56BD"/>
    <w:rsid w:val="00B23622"/>
    <w:rsid w:val="00B3093C"/>
    <w:rsid w:val="00B31EB2"/>
    <w:rsid w:val="00B32B82"/>
    <w:rsid w:val="00B53BC3"/>
    <w:rsid w:val="00B759F5"/>
    <w:rsid w:val="00BD6DC2"/>
    <w:rsid w:val="00BF43F5"/>
    <w:rsid w:val="00BF48D1"/>
    <w:rsid w:val="00C12AC2"/>
    <w:rsid w:val="00C5453F"/>
    <w:rsid w:val="00C820DF"/>
    <w:rsid w:val="00D3529F"/>
    <w:rsid w:val="00D515AA"/>
    <w:rsid w:val="00D53510"/>
    <w:rsid w:val="00DB28EB"/>
    <w:rsid w:val="00DF0199"/>
    <w:rsid w:val="00DF51C4"/>
    <w:rsid w:val="00E338A3"/>
    <w:rsid w:val="00E3595E"/>
    <w:rsid w:val="00EB635F"/>
    <w:rsid w:val="00ED7D7C"/>
    <w:rsid w:val="00F01FAE"/>
    <w:rsid w:val="00F8183B"/>
    <w:rsid w:val="00FA5FC1"/>
    <w:rsid w:val="01470A8A"/>
    <w:rsid w:val="0234146B"/>
    <w:rsid w:val="026B1CAC"/>
    <w:rsid w:val="02A6208A"/>
    <w:rsid w:val="03192F53"/>
    <w:rsid w:val="03A57BB6"/>
    <w:rsid w:val="03AD4F46"/>
    <w:rsid w:val="03F903E8"/>
    <w:rsid w:val="040A6059"/>
    <w:rsid w:val="044C5C91"/>
    <w:rsid w:val="06D27B45"/>
    <w:rsid w:val="07136F21"/>
    <w:rsid w:val="078F5063"/>
    <w:rsid w:val="080E64F0"/>
    <w:rsid w:val="09395457"/>
    <w:rsid w:val="09451E80"/>
    <w:rsid w:val="099215DD"/>
    <w:rsid w:val="09DC19A3"/>
    <w:rsid w:val="09E069E0"/>
    <w:rsid w:val="0B5517FF"/>
    <w:rsid w:val="0B947424"/>
    <w:rsid w:val="0B972846"/>
    <w:rsid w:val="0B9C0B56"/>
    <w:rsid w:val="0BBB6D74"/>
    <w:rsid w:val="0C0C6FFE"/>
    <w:rsid w:val="0C1E24BA"/>
    <w:rsid w:val="0C5276F6"/>
    <w:rsid w:val="0C85710C"/>
    <w:rsid w:val="0CB32891"/>
    <w:rsid w:val="0CD43832"/>
    <w:rsid w:val="0CE20A75"/>
    <w:rsid w:val="0D0237E6"/>
    <w:rsid w:val="0D4E2433"/>
    <w:rsid w:val="0E245DB5"/>
    <w:rsid w:val="0F2B21D1"/>
    <w:rsid w:val="10033E05"/>
    <w:rsid w:val="103310FF"/>
    <w:rsid w:val="10B615B1"/>
    <w:rsid w:val="1173458B"/>
    <w:rsid w:val="12A56387"/>
    <w:rsid w:val="12AD58FA"/>
    <w:rsid w:val="12D431CA"/>
    <w:rsid w:val="134E4D7B"/>
    <w:rsid w:val="13C97AB2"/>
    <w:rsid w:val="14692D4B"/>
    <w:rsid w:val="15183C46"/>
    <w:rsid w:val="1589624B"/>
    <w:rsid w:val="16F15C1A"/>
    <w:rsid w:val="17125A2B"/>
    <w:rsid w:val="1747408E"/>
    <w:rsid w:val="17987ED6"/>
    <w:rsid w:val="17AD036A"/>
    <w:rsid w:val="17C07B85"/>
    <w:rsid w:val="1A3F6FDA"/>
    <w:rsid w:val="1A422262"/>
    <w:rsid w:val="1A4C1469"/>
    <w:rsid w:val="1A644ACB"/>
    <w:rsid w:val="1B3E3158"/>
    <w:rsid w:val="1BBD054F"/>
    <w:rsid w:val="1BE44CD8"/>
    <w:rsid w:val="1D8115EF"/>
    <w:rsid w:val="1D850D43"/>
    <w:rsid w:val="1DD67227"/>
    <w:rsid w:val="1EBC1E87"/>
    <w:rsid w:val="1EBE4CE7"/>
    <w:rsid w:val="1ED42593"/>
    <w:rsid w:val="1ED456D5"/>
    <w:rsid w:val="1EFB4DF0"/>
    <w:rsid w:val="1F107A0B"/>
    <w:rsid w:val="1F490FDE"/>
    <w:rsid w:val="1F4D7A5F"/>
    <w:rsid w:val="1F7B1B2B"/>
    <w:rsid w:val="1FC47655"/>
    <w:rsid w:val="205B3537"/>
    <w:rsid w:val="211F27A2"/>
    <w:rsid w:val="21E31DAC"/>
    <w:rsid w:val="220F2576"/>
    <w:rsid w:val="22341638"/>
    <w:rsid w:val="23C633D6"/>
    <w:rsid w:val="24871F79"/>
    <w:rsid w:val="24F102EF"/>
    <w:rsid w:val="253F3C7F"/>
    <w:rsid w:val="256F1F2A"/>
    <w:rsid w:val="25EA1EE5"/>
    <w:rsid w:val="264F1406"/>
    <w:rsid w:val="26D133AD"/>
    <w:rsid w:val="27602533"/>
    <w:rsid w:val="276F6AA3"/>
    <w:rsid w:val="27A02CD7"/>
    <w:rsid w:val="283B51DE"/>
    <w:rsid w:val="286E2172"/>
    <w:rsid w:val="29196318"/>
    <w:rsid w:val="295343F4"/>
    <w:rsid w:val="298F59D8"/>
    <w:rsid w:val="29BA06E9"/>
    <w:rsid w:val="29D82F19"/>
    <w:rsid w:val="2A9E025F"/>
    <w:rsid w:val="2AA60373"/>
    <w:rsid w:val="2AAF3CF3"/>
    <w:rsid w:val="2B7F49F2"/>
    <w:rsid w:val="2B921CB8"/>
    <w:rsid w:val="2CBC41A6"/>
    <w:rsid w:val="2CC26F77"/>
    <w:rsid w:val="2CEC7851"/>
    <w:rsid w:val="2CFC4874"/>
    <w:rsid w:val="2D5A2D35"/>
    <w:rsid w:val="2DD07165"/>
    <w:rsid w:val="2EFC40D4"/>
    <w:rsid w:val="2F1561E6"/>
    <w:rsid w:val="2FD004EE"/>
    <w:rsid w:val="2FFB1718"/>
    <w:rsid w:val="30213B91"/>
    <w:rsid w:val="308E5759"/>
    <w:rsid w:val="312943A1"/>
    <w:rsid w:val="31B7353F"/>
    <w:rsid w:val="31ED20B3"/>
    <w:rsid w:val="32AA709A"/>
    <w:rsid w:val="33C92C70"/>
    <w:rsid w:val="33CB05F6"/>
    <w:rsid w:val="347539F9"/>
    <w:rsid w:val="351155A5"/>
    <w:rsid w:val="353C34F0"/>
    <w:rsid w:val="35D81069"/>
    <w:rsid w:val="35EE6569"/>
    <w:rsid w:val="36FC067D"/>
    <w:rsid w:val="38E649E2"/>
    <w:rsid w:val="39C20B54"/>
    <w:rsid w:val="3A355F7C"/>
    <w:rsid w:val="3A6E421F"/>
    <w:rsid w:val="3A737EEC"/>
    <w:rsid w:val="3B3B6E0D"/>
    <w:rsid w:val="3B4F1036"/>
    <w:rsid w:val="3B981C9E"/>
    <w:rsid w:val="3BB21864"/>
    <w:rsid w:val="3BDF1A38"/>
    <w:rsid w:val="3BE4530F"/>
    <w:rsid w:val="3C6F3E3B"/>
    <w:rsid w:val="3CFD528C"/>
    <w:rsid w:val="3EB013AB"/>
    <w:rsid w:val="3F5D58F1"/>
    <w:rsid w:val="3FAF7EBF"/>
    <w:rsid w:val="3FCC6897"/>
    <w:rsid w:val="405C5A84"/>
    <w:rsid w:val="40D13944"/>
    <w:rsid w:val="4221748A"/>
    <w:rsid w:val="423D466F"/>
    <w:rsid w:val="428B4359"/>
    <w:rsid w:val="42B03CCC"/>
    <w:rsid w:val="42B768CD"/>
    <w:rsid w:val="42CC3F33"/>
    <w:rsid w:val="43207D0A"/>
    <w:rsid w:val="43631EE8"/>
    <w:rsid w:val="43B35BE1"/>
    <w:rsid w:val="43CB3901"/>
    <w:rsid w:val="443E1BD5"/>
    <w:rsid w:val="44F53EC9"/>
    <w:rsid w:val="451A11C3"/>
    <w:rsid w:val="453B3109"/>
    <w:rsid w:val="456C7660"/>
    <w:rsid w:val="45B349FB"/>
    <w:rsid w:val="45CC4C92"/>
    <w:rsid w:val="46BD5C01"/>
    <w:rsid w:val="47066E73"/>
    <w:rsid w:val="473000FD"/>
    <w:rsid w:val="47697F3B"/>
    <w:rsid w:val="47B45F3C"/>
    <w:rsid w:val="48053C34"/>
    <w:rsid w:val="48123E79"/>
    <w:rsid w:val="497C22B2"/>
    <w:rsid w:val="49D076B0"/>
    <w:rsid w:val="4A1417AA"/>
    <w:rsid w:val="4A5D7320"/>
    <w:rsid w:val="4B5D2B2A"/>
    <w:rsid w:val="4CD36D03"/>
    <w:rsid w:val="4CD73D60"/>
    <w:rsid w:val="4D342AC5"/>
    <w:rsid w:val="4D694DA4"/>
    <w:rsid w:val="4D6B42BE"/>
    <w:rsid w:val="4DCA136A"/>
    <w:rsid w:val="4DFE6388"/>
    <w:rsid w:val="4ECF6BCC"/>
    <w:rsid w:val="508B38AC"/>
    <w:rsid w:val="50B259D2"/>
    <w:rsid w:val="50F53BA8"/>
    <w:rsid w:val="51F11F6A"/>
    <w:rsid w:val="5229107C"/>
    <w:rsid w:val="527349B4"/>
    <w:rsid w:val="52E10274"/>
    <w:rsid w:val="53572425"/>
    <w:rsid w:val="53CA7249"/>
    <w:rsid w:val="549A08F7"/>
    <w:rsid w:val="55470037"/>
    <w:rsid w:val="55A236BA"/>
    <w:rsid w:val="55CD0E83"/>
    <w:rsid w:val="567B53FF"/>
    <w:rsid w:val="57A73D22"/>
    <w:rsid w:val="585D638C"/>
    <w:rsid w:val="58987D0A"/>
    <w:rsid w:val="592839E3"/>
    <w:rsid w:val="593517E3"/>
    <w:rsid w:val="59455451"/>
    <w:rsid w:val="598F6A85"/>
    <w:rsid w:val="5A812739"/>
    <w:rsid w:val="5AB77DD7"/>
    <w:rsid w:val="5BAE76FF"/>
    <w:rsid w:val="5BBE76F4"/>
    <w:rsid w:val="5BE91279"/>
    <w:rsid w:val="5CA01AB6"/>
    <w:rsid w:val="5EBD399D"/>
    <w:rsid w:val="5F4212D9"/>
    <w:rsid w:val="5FB04F89"/>
    <w:rsid w:val="600E1E6F"/>
    <w:rsid w:val="61A67C9A"/>
    <w:rsid w:val="61CA201F"/>
    <w:rsid w:val="621C1ADB"/>
    <w:rsid w:val="621C3A13"/>
    <w:rsid w:val="625C2BFE"/>
    <w:rsid w:val="625C3E83"/>
    <w:rsid w:val="631312C7"/>
    <w:rsid w:val="63620E0E"/>
    <w:rsid w:val="63B86D94"/>
    <w:rsid w:val="63DC30DC"/>
    <w:rsid w:val="643B7D84"/>
    <w:rsid w:val="65822F4C"/>
    <w:rsid w:val="65AF5444"/>
    <w:rsid w:val="65E71F28"/>
    <w:rsid w:val="6629349B"/>
    <w:rsid w:val="666F3498"/>
    <w:rsid w:val="66A23BB0"/>
    <w:rsid w:val="66AD7815"/>
    <w:rsid w:val="67AF42C4"/>
    <w:rsid w:val="67D853AC"/>
    <w:rsid w:val="68A70936"/>
    <w:rsid w:val="69264FE4"/>
    <w:rsid w:val="69445670"/>
    <w:rsid w:val="69520885"/>
    <w:rsid w:val="69E132A1"/>
    <w:rsid w:val="6CD66CA4"/>
    <w:rsid w:val="6D5710EB"/>
    <w:rsid w:val="6D9D7DC0"/>
    <w:rsid w:val="6DB01FA2"/>
    <w:rsid w:val="6EEF41B0"/>
    <w:rsid w:val="6F772A31"/>
    <w:rsid w:val="6F904D6D"/>
    <w:rsid w:val="70274708"/>
    <w:rsid w:val="70CC7133"/>
    <w:rsid w:val="71723ECA"/>
    <w:rsid w:val="71CC141B"/>
    <w:rsid w:val="72F93BFA"/>
    <w:rsid w:val="730F7E05"/>
    <w:rsid w:val="73536E8D"/>
    <w:rsid w:val="73935E33"/>
    <w:rsid w:val="74B717BB"/>
    <w:rsid w:val="74B74C17"/>
    <w:rsid w:val="754679FD"/>
    <w:rsid w:val="7547692F"/>
    <w:rsid w:val="76BB6642"/>
    <w:rsid w:val="76E70A9E"/>
    <w:rsid w:val="773D0CC8"/>
    <w:rsid w:val="77E45344"/>
    <w:rsid w:val="77F95CBE"/>
    <w:rsid w:val="7812538D"/>
    <w:rsid w:val="79DA24A9"/>
    <w:rsid w:val="7A255AF3"/>
    <w:rsid w:val="7A5A6AA7"/>
    <w:rsid w:val="7A7E636C"/>
    <w:rsid w:val="7BF939F1"/>
    <w:rsid w:val="7C157AF8"/>
    <w:rsid w:val="7C5652B8"/>
    <w:rsid w:val="7C8E2DE4"/>
    <w:rsid w:val="7D9032CF"/>
    <w:rsid w:val="7E4E3F93"/>
    <w:rsid w:val="7E510DCF"/>
    <w:rsid w:val="7EB413CA"/>
    <w:rsid w:val="7FAC5749"/>
    <w:rsid w:val="7FB95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link w:val="12"/>
    <w:qFormat/>
    <w:uiPriority w:val="0"/>
    <w:pPr>
      <w:spacing w:line="540" w:lineRule="exact"/>
      <w:ind w:firstLine="643" w:firstLineChars="200"/>
    </w:pPr>
    <w:rPr>
      <w:rFonts w:ascii="Times New Roman" w:hAnsi="Times New Roman" w:eastAsia="仿宋_GB2312" w:cs="Times New Roman"/>
      <w:b/>
      <w:bCs/>
      <w:sz w:val="32"/>
      <w:szCs w:val="24"/>
    </w:rPr>
  </w:style>
  <w:style w:type="paragraph" w:styleId="3">
    <w:name w:val="Body Text Indent 2"/>
    <w:basedOn w:val="1"/>
    <w:autoRedefine/>
    <w:semiHidden/>
    <w:unhideWhenUsed/>
    <w:qFormat/>
    <w:uiPriority w:val="99"/>
    <w:pPr>
      <w:spacing w:line="580" w:lineRule="exact"/>
      <w:ind w:firstLine="640" w:firstLineChars="200"/>
    </w:pPr>
    <w:rPr>
      <w:rFonts w:ascii="仿宋_GB2312" w:eastAsia="仿宋_GB2312"/>
      <w:sz w:val="32"/>
    </w:rPr>
  </w:style>
  <w:style w:type="paragraph" w:styleId="4">
    <w:name w:val="Balloon Text"/>
    <w:basedOn w:val="1"/>
    <w:link w:val="13"/>
    <w:autoRedefine/>
    <w:unhideWhenUsed/>
    <w:qFormat/>
    <w:uiPriority w:val="99"/>
    <w:rPr>
      <w:sz w:val="18"/>
      <w:szCs w:val="18"/>
    </w:rPr>
  </w:style>
  <w:style w:type="paragraph" w:styleId="5">
    <w:name w:val="footer"/>
    <w:basedOn w:val="1"/>
    <w:link w:val="10"/>
    <w:autoRedefine/>
    <w:unhideWhenUsed/>
    <w:qFormat/>
    <w:uiPriority w:val="99"/>
    <w:pPr>
      <w:tabs>
        <w:tab w:val="center" w:pos="4153"/>
        <w:tab w:val="right" w:pos="8306"/>
      </w:tabs>
      <w:snapToGrid w:val="0"/>
      <w:jc w:val="left"/>
    </w:pPr>
    <w:rPr>
      <w:sz w:val="18"/>
      <w:szCs w:val="18"/>
    </w:rPr>
  </w:style>
  <w:style w:type="paragraph" w:styleId="6">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autoRedefine/>
    <w:qFormat/>
    <w:uiPriority w:val="99"/>
    <w:rPr>
      <w:sz w:val="18"/>
      <w:szCs w:val="18"/>
    </w:rPr>
  </w:style>
  <w:style w:type="character" w:customStyle="1" w:styleId="10">
    <w:name w:val="页脚 Char"/>
    <w:basedOn w:val="8"/>
    <w:link w:val="5"/>
    <w:autoRedefine/>
    <w:qFormat/>
    <w:uiPriority w:val="99"/>
    <w:rPr>
      <w:sz w:val="18"/>
      <w:szCs w:val="18"/>
    </w:rPr>
  </w:style>
  <w:style w:type="character" w:customStyle="1" w:styleId="11">
    <w:name w:val="font11"/>
    <w:basedOn w:val="8"/>
    <w:autoRedefine/>
    <w:qFormat/>
    <w:uiPriority w:val="0"/>
    <w:rPr>
      <w:rFonts w:hint="default" w:ascii="Times New Roman" w:hAnsi="Times New Roman" w:cs="Times New Roman"/>
      <w:color w:val="000000"/>
      <w:sz w:val="20"/>
      <w:szCs w:val="20"/>
      <w:u w:val="none"/>
    </w:rPr>
  </w:style>
  <w:style w:type="character" w:customStyle="1" w:styleId="12">
    <w:name w:val="正文文本缩进 Char"/>
    <w:basedOn w:val="8"/>
    <w:link w:val="2"/>
    <w:autoRedefine/>
    <w:qFormat/>
    <w:uiPriority w:val="0"/>
    <w:rPr>
      <w:rFonts w:ascii="Times New Roman" w:hAnsi="Times New Roman" w:eastAsia="仿宋_GB2312" w:cs="Times New Roman"/>
      <w:b/>
      <w:bCs/>
      <w:sz w:val="32"/>
      <w:szCs w:val="24"/>
    </w:rPr>
  </w:style>
  <w:style w:type="character" w:customStyle="1" w:styleId="13">
    <w:name w:val="批注框文本 Char"/>
    <w:basedOn w:val="8"/>
    <w:link w:val="4"/>
    <w:autoRedefine/>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9</Pages>
  <Words>5160</Words>
  <Characters>5516</Characters>
  <Lines>42</Lines>
  <Paragraphs>12</Paragraphs>
  <TotalTime>3</TotalTime>
  <ScaleCrop>false</ScaleCrop>
  <LinksUpToDate>false</LinksUpToDate>
  <CharactersWithSpaces>5548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2017-11-20T01:05:00Z</dcterms:created>
  <dc:creator>Sky123.Org</dc:creator>
  <cp:lastModifiedBy>WPS_1665536116</cp:lastModifiedBy>
  <cp:lastPrinted>2025-05-26T01:18:00Z</cp:lastPrinted>
  <dcterms:modified xsi:type="dcterms:W3CDTF">2025-05-27T01:09:55Z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C41C1A08E972450F9A134D24BCA5E2BF_13</vt:lpwstr>
  </property>
  <property fmtid="{D5CDD505-2E9C-101B-9397-08002B2CF9AE}" pid="4" name="KSOTemplateDocerSaveRecord">
    <vt:lpwstr>eyJoZGlkIjoiYWI2YzIwOTA2MDQyYmUyOGZkNDJhMzNiZDQ2ODljMTMiLCJ1c2VySWQiOiIxNDE4NjQyNzI2In0=</vt:lpwstr>
  </property>
</Properties>
</file>